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B9B6E" w14:textId="77777777" w:rsidR="008658AE" w:rsidRPr="00D40E53" w:rsidRDefault="008658AE" w:rsidP="003F6EB6">
      <w:pPr>
        <w:tabs>
          <w:tab w:val="left" w:pos="2240"/>
        </w:tabs>
        <w:spacing w:after="0" w:line="240" w:lineRule="auto"/>
        <w:rPr>
          <w:sz w:val="24"/>
          <w:szCs w:val="24"/>
        </w:rPr>
      </w:pPr>
    </w:p>
    <w:p w14:paraId="2D76797E" w14:textId="77777777" w:rsidR="008658AE" w:rsidRPr="00D40E53" w:rsidRDefault="008658AE" w:rsidP="008658AE">
      <w:pPr>
        <w:spacing w:after="0" w:line="240" w:lineRule="auto"/>
        <w:rPr>
          <w:sz w:val="24"/>
          <w:szCs w:val="24"/>
        </w:rPr>
      </w:pPr>
    </w:p>
    <w:p w14:paraId="351FA8E5" w14:textId="6AD2E622" w:rsidR="008658AE" w:rsidRDefault="000422E7" w:rsidP="000422E7">
      <w:pPr>
        <w:spacing w:after="0" w:line="240" w:lineRule="auto"/>
        <w:jc w:val="right"/>
        <w:rPr>
          <w:rFonts w:cstheme="minorHAnsi"/>
        </w:rPr>
      </w:pPr>
      <w:r w:rsidRPr="00B86409">
        <w:rPr>
          <w:rFonts w:cstheme="minorHAnsi"/>
        </w:rPr>
        <w:t xml:space="preserve">Příloha ke </w:t>
      </w:r>
      <w:proofErr w:type="spellStart"/>
      <w:r w:rsidRPr="00B86409">
        <w:rPr>
          <w:rFonts w:cstheme="minorHAnsi"/>
        </w:rPr>
        <w:t>sp</w:t>
      </w:r>
      <w:proofErr w:type="spellEnd"/>
      <w:r w:rsidRPr="00B86409">
        <w:rPr>
          <w:rFonts w:cstheme="minorHAnsi"/>
        </w:rPr>
        <w:t>. zn.:</w:t>
      </w:r>
      <w:r w:rsidR="004608A2">
        <w:rPr>
          <w:rFonts w:cstheme="minorHAnsi"/>
        </w:rPr>
        <w:t xml:space="preserve"> </w:t>
      </w:r>
      <w:r w:rsidR="004608A2" w:rsidRPr="004608A2">
        <w:rPr>
          <w:rFonts w:cstheme="minorHAnsi"/>
        </w:rPr>
        <w:t>24/17-NKU140/536/25</w:t>
      </w:r>
    </w:p>
    <w:p w14:paraId="1A9F3608" w14:textId="77777777" w:rsidR="000422E7" w:rsidRDefault="000422E7" w:rsidP="000422E7">
      <w:pPr>
        <w:spacing w:after="0" w:line="240" w:lineRule="auto"/>
        <w:jc w:val="center"/>
        <w:rPr>
          <w:sz w:val="24"/>
          <w:szCs w:val="24"/>
        </w:rPr>
      </w:pPr>
    </w:p>
    <w:p w14:paraId="68E88667" w14:textId="77777777" w:rsidR="000422E7" w:rsidRDefault="000422E7" w:rsidP="000422E7">
      <w:pPr>
        <w:spacing w:after="0" w:line="240" w:lineRule="auto"/>
        <w:jc w:val="center"/>
        <w:rPr>
          <w:sz w:val="24"/>
          <w:szCs w:val="24"/>
        </w:rPr>
      </w:pPr>
    </w:p>
    <w:p w14:paraId="3B7911C8" w14:textId="77777777" w:rsidR="000422E7" w:rsidRPr="000422E7" w:rsidRDefault="000422E7" w:rsidP="000422E7">
      <w:pPr>
        <w:spacing w:before="240" w:after="0" w:line="240" w:lineRule="auto"/>
        <w:jc w:val="center"/>
        <w:rPr>
          <w:rFonts w:eastAsia="Times New Roman" w:cstheme="minorHAnsi"/>
          <w:b/>
          <w:spacing w:val="40"/>
          <w:sz w:val="24"/>
          <w:szCs w:val="24"/>
          <w:u w:val="single"/>
        </w:rPr>
      </w:pPr>
      <w:r w:rsidRPr="000422E7">
        <w:rPr>
          <w:rFonts w:eastAsia="Times New Roman" w:cstheme="minorHAnsi"/>
          <w:b/>
          <w:spacing w:val="40"/>
          <w:sz w:val="24"/>
          <w:szCs w:val="24"/>
          <w:u w:val="single"/>
        </w:rPr>
        <w:t>Připomínky</w:t>
      </w:r>
    </w:p>
    <w:p w14:paraId="2EAC02DE" w14:textId="127585D2" w:rsidR="000422E7" w:rsidRPr="000422E7" w:rsidRDefault="000422E7" w:rsidP="000422E7">
      <w:pPr>
        <w:spacing w:after="0" w:line="240" w:lineRule="auto"/>
        <w:jc w:val="center"/>
        <w:rPr>
          <w:rFonts w:eastAsia="Times New Roman" w:cstheme="minorHAnsi"/>
          <w:b/>
          <w:spacing w:val="40"/>
          <w:sz w:val="24"/>
          <w:szCs w:val="24"/>
        </w:rPr>
      </w:pPr>
      <w:r w:rsidRPr="000422E7">
        <w:rPr>
          <w:rFonts w:eastAsia="Times New Roman" w:cstheme="minorHAnsi"/>
          <w:b/>
          <w:spacing w:val="40"/>
          <w:sz w:val="24"/>
          <w:szCs w:val="24"/>
          <w:u w:val="single"/>
        </w:rPr>
        <w:br/>
      </w:r>
      <w:r w:rsidRPr="000422E7">
        <w:rPr>
          <w:rFonts w:eastAsia="Times New Roman" w:cstheme="minorHAnsi"/>
          <w:b/>
          <w:sz w:val="24"/>
          <w:szCs w:val="24"/>
        </w:rPr>
        <w:t xml:space="preserve">k materiálu </w:t>
      </w:r>
      <w:r w:rsidR="00BF4EDB">
        <w:rPr>
          <w:rFonts w:eastAsia="Times New Roman" w:cstheme="minorHAnsi"/>
          <w:b/>
          <w:sz w:val="24"/>
          <w:szCs w:val="24"/>
        </w:rPr>
        <w:t>Grantové agentury České republiky a Technologické agentury České republiky</w:t>
      </w:r>
      <w:r w:rsidRPr="000422E7">
        <w:rPr>
          <w:rFonts w:eastAsia="Times New Roman" w:cstheme="minorHAnsi"/>
          <w:b/>
          <w:sz w:val="24"/>
          <w:szCs w:val="24"/>
        </w:rPr>
        <w:t xml:space="preserve"> ke Kontrolnímu závěru z kontrolní akce č. 2</w:t>
      </w:r>
      <w:r w:rsidR="00BE1BCA">
        <w:rPr>
          <w:rFonts w:eastAsia="Times New Roman" w:cstheme="minorHAnsi"/>
          <w:b/>
          <w:sz w:val="24"/>
          <w:szCs w:val="24"/>
        </w:rPr>
        <w:t>4</w:t>
      </w:r>
      <w:r w:rsidRPr="000422E7">
        <w:rPr>
          <w:rFonts w:eastAsia="Times New Roman" w:cstheme="minorHAnsi"/>
          <w:b/>
          <w:sz w:val="24"/>
          <w:szCs w:val="24"/>
        </w:rPr>
        <w:t>/</w:t>
      </w:r>
      <w:r w:rsidR="00BF4EDB">
        <w:rPr>
          <w:rFonts w:eastAsia="Times New Roman" w:cstheme="minorHAnsi"/>
          <w:b/>
          <w:sz w:val="24"/>
          <w:szCs w:val="24"/>
        </w:rPr>
        <w:t>17</w:t>
      </w:r>
      <w:r w:rsidRPr="000422E7">
        <w:rPr>
          <w:rFonts w:eastAsia="Times New Roman" w:cstheme="minorHAnsi"/>
          <w:b/>
          <w:sz w:val="24"/>
          <w:szCs w:val="24"/>
        </w:rPr>
        <w:t xml:space="preserve"> „</w:t>
      </w:r>
      <w:r w:rsidR="00BF4EDB" w:rsidRPr="00BF4EDB">
        <w:rPr>
          <w:rFonts w:eastAsia="Times New Roman" w:cstheme="minorHAnsi"/>
          <w:b/>
          <w:sz w:val="24"/>
          <w:szCs w:val="24"/>
        </w:rPr>
        <w:t>Peněžní prostředky určené na účelovou podporu výzkumu, vývoje a inovací prostřednictvím rozpočtových kapitol Grantová agentura České republiky a Technologická agentura České republiky</w:t>
      </w:r>
      <w:r w:rsidRPr="000422E7">
        <w:rPr>
          <w:rFonts w:eastAsia="Times New Roman" w:cstheme="minorHAnsi"/>
          <w:b/>
          <w:sz w:val="24"/>
          <w:szCs w:val="24"/>
        </w:rPr>
        <w:t>“</w:t>
      </w:r>
    </w:p>
    <w:p w14:paraId="17F6D6FE" w14:textId="77777777" w:rsidR="000422E7" w:rsidRPr="000422E7" w:rsidRDefault="000422E7" w:rsidP="000422E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</w:p>
    <w:p w14:paraId="7A78A4D7" w14:textId="707C4BEA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B4E16">
        <w:rPr>
          <w:rFonts w:ascii="Calibri" w:eastAsia="Calibri" w:hAnsi="Calibri" w:cs="Calibri"/>
          <w:sz w:val="24"/>
          <w:szCs w:val="24"/>
        </w:rPr>
        <w:t>Grantová agentura České republiky (dále také „GA ČR“) a Technologická agentura České republiky (dále také „TA ČR“) předložily Nejvyššímu kontrolnímu úřadu (dále také „NKÚ“) k připomínkám materiál pro jednání vlády s názvem Společné stanovisko Grantové agentury České republiky a Technologické agentury České republiky ve věci Kontrolního závěru Nejvyššího kontrolního úřadu z kontrolní akce č. 24/17 „Peněžní prostředky určené na</w:t>
      </w:r>
      <w:r w:rsidR="004608A2">
        <w:rPr>
          <w:rFonts w:ascii="Calibri" w:eastAsia="Calibri" w:hAnsi="Calibri" w:cs="Calibri"/>
          <w:sz w:val="24"/>
          <w:szCs w:val="24"/>
        </w:rPr>
        <w:t> </w:t>
      </w:r>
      <w:r w:rsidRPr="009B4E16">
        <w:rPr>
          <w:rFonts w:ascii="Calibri" w:eastAsia="Calibri" w:hAnsi="Calibri" w:cs="Calibri"/>
          <w:sz w:val="24"/>
          <w:szCs w:val="24"/>
        </w:rPr>
        <w:t>účelovou podporu výzkumu, vývoje a inovací prostřednictvím rozpočtových kapitol Grantová agentura České republiky a Technologická agentura České republiky“</w:t>
      </w:r>
      <w:r w:rsidR="00667DE4">
        <w:rPr>
          <w:rFonts w:ascii="Calibri" w:eastAsia="Calibri" w:hAnsi="Calibri" w:cs="Calibri"/>
          <w:sz w:val="24"/>
          <w:szCs w:val="24"/>
        </w:rPr>
        <w:t>.</w:t>
      </w:r>
    </w:p>
    <w:p w14:paraId="0158B469" w14:textId="27BF1CAD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B4E16">
        <w:rPr>
          <w:rFonts w:ascii="Calibri" w:eastAsia="Calibri" w:hAnsi="Calibri" w:cs="Calibri"/>
          <w:sz w:val="24"/>
          <w:szCs w:val="24"/>
        </w:rPr>
        <w:t xml:space="preserve">Kontrolní akce č. 24/17 byla zařazena do plánu kontrolní činnosti NKÚ na rok 2023, řídil ji a kontrolní závěr vypracoval člen NKÚ RNDr. Petr </w:t>
      </w:r>
      <w:proofErr w:type="spellStart"/>
      <w:r w:rsidRPr="009B4E16">
        <w:rPr>
          <w:rFonts w:ascii="Calibri" w:eastAsia="Calibri" w:hAnsi="Calibri" w:cs="Calibri"/>
          <w:sz w:val="24"/>
          <w:szCs w:val="24"/>
        </w:rPr>
        <w:t>Neuvirt</w:t>
      </w:r>
      <w:proofErr w:type="spellEnd"/>
      <w:r w:rsidRPr="009B4E16">
        <w:rPr>
          <w:rFonts w:ascii="Calibri" w:eastAsia="Calibri" w:hAnsi="Calibri" w:cs="Calibri"/>
          <w:sz w:val="24"/>
          <w:szCs w:val="24"/>
        </w:rPr>
        <w:t>. Cílem kontroly bylo prověřit, zda Grantová agentura České republiky a Technologická agentura České republiky vynakládaly peněžní prostředky na podporu výzkumu, vývoje a inovací účelně, efektivně a v souladu s</w:t>
      </w:r>
      <w:r w:rsidR="004608A2">
        <w:rPr>
          <w:rFonts w:ascii="Calibri" w:eastAsia="Calibri" w:hAnsi="Calibri" w:cs="Calibri"/>
          <w:sz w:val="24"/>
          <w:szCs w:val="24"/>
        </w:rPr>
        <w:t> </w:t>
      </w:r>
      <w:r w:rsidRPr="009B4E16">
        <w:rPr>
          <w:rFonts w:ascii="Calibri" w:eastAsia="Calibri" w:hAnsi="Calibri" w:cs="Calibri"/>
          <w:sz w:val="24"/>
          <w:szCs w:val="24"/>
        </w:rPr>
        <w:t>právními předpisy.</w:t>
      </w:r>
    </w:p>
    <w:p w14:paraId="430DCDA0" w14:textId="799CE7F4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9B4E16">
        <w:rPr>
          <w:rFonts w:ascii="Calibri" w:eastAsia="Calibri" w:hAnsi="Calibri" w:cs="Calibri"/>
          <w:sz w:val="24"/>
          <w:szCs w:val="24"/>
        </w:rPr>
        <w:t xml:space="preserve">Materiál obsahuje mj. </w:t>
      </w:r>
      <w:r w:rsidRPr="009B4E16">
        <w:rPr>
          <w:rFonts w:ascii="Calibri" w:eastAsia="Calibri" w:hAnsi="Calibri" w:cs="Calibri"/>
          <w:i/>
          <w:sz w:val="24"/>
          <w:szCs w:val="24"/>
        </w:rPr>
        <w:t>část III.</w:t>
      </w:r>
      <w:r w:rsidRPr="009B4E16">
        <w:rPr>
          <w:rFonts w:ascii="Calibri" w:eastAsia="Calibri" w:hAnsi="Calibri" w:cs="Calibri"/>
          <w:sz w:val="24"/>
          <w:szCs w:val="24"/>
        </w:rPr>
        <w:t xml:space="preserve"> nazvanou </w:t>
      </w:r>
      <w:r w:rsidRPr="009B4E16">
        <w:rPr>
          <w:rFonts w:ascii="Calibri" w:eastAsia="Calibri" w:hAnsi="Calibri" w:cs="Calibri"/>
          <w:i/>
          <w:sz w:val="24"/>
          <w:szCs w:val="24"/>
        </w:rPr>
        <w:t>Společné stanovisko</w:t>
      </w:r>
      <w:r>
        <w:rPr>
          <w:rFonts w:ascii="Calibri" w:eastAsia="Calibri" w:hAnsi="Calibri" w:cs="Calibri"/>
          <w:i/>
          <w:sz w:val="24"/>
          <w:szCs w:val="24"/>
        </w:rPr>
        <w:t xml:space="preserve"> Grantové agentury České republiky a Technologické agentury České republiky ve věci Kontrolního závěru Nejvyššího kontrolního úřadu z kontrolní akce č. 24/17 „Peněžní prostředky určené na účelovou podporu výzkumu, vývoje a inovací prostřednictvím rozpočtových kapitol Grantová agentura České republiky a Technologická agentura České republiky</w:t>
      </w:r>
      <w:r w:rsidRPr="009B4E16">
        <w:rPr>
          <w:rFonts w:ascii="Calibri" w:eastAsia="Calibri" w:hAnsi="Calibri" w:cs="Calibri"/>
          <w:sz w:val="24"/>
          <w:szCs w:val="24"/>
        </w:rPr>
        <w:t xml:space="preserve"> (dále také „Stanovisko“). </w:t>
      </w:r>
    </w:p>
    <w:p w14:paraId="039656C9" w14:textId="77777777" w:rsidR="009B4E16" w:rsidRPr="009B4E16" w:rsidRDefault="009B4E16" w:rsidP="009B4E16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398C0BED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Times New Roman" w:hAnsi="Calibri" w:cs="Calibri"/>
          <w:bCs/>
          <w:color w:val="EE0000"/>
          <w:sz w:val="24"/>
          <w:szCs w:val="24"/>
        </w:rPr>
      </w:pPr>
      <w:r w:rsidRPr="009B4E16">
        <w:rPr>
          <w:rFonts w:ascii="Calibri" w:eastAsia="Times New Roman" w:hAnsi="Calibri" w:cs="Calibri"/>
          <w:b/>
          <w:spacing w:val="-3"/>
          <w:sz w:val="24"/>
          <w:szCs w:val="24"/>
          <w:u w:val="single"/>
        </w:rPr>
        <w:t>NKÚ uplatňuje k materiálu následující připomínky:</w:t>
      </w:r>
      <w:r w:rsidRPr="009B4E16">
        <w:rPr>
          <w:rFonts w:ascii="Calibri" w:eastAsia="Times New Roman" w:hAnsi="Calibri" w:cs="Calibri"/>
          <w:bCs/>
          <w:color w:val="EE0000"/>
          <w:sz w:val="24"/>
          <w:szCs w:val="24"/>
        </w:rPr>
        <w:t xml:space="preserve"> </w:t>
      </w:r>
      <w:r w:rsidRPr="009B4E16">
        <w:rPr>
          <w:rFonts w:ascii="Calibri" w:eastAsia="Times New Roman" w:hAnsi="Calibri" w:cs="Calibri"/>
          <w:bCs/>
          <w:color w:val="EE0000"/>
          <w:sz w:val="24"/>
          <w:szCs w:val="24"/>
        </w:rPr>
        <w:tab/>
      </w:r>
      <w:r w:rsidRPr="009B4E16">
        <w:rPr>
          <w:rFonts w:ascii="Calibri" w:eastAsia="Times New Roman" w:hAnsi="Calibri" w:cs="Calibri"/>
          <w:bCs/>
          <w:color w:val="EE0000"/>
          <w:sz w:val="24"/>
          <w:szCs w:val="24"/>
        </w:rPr>
        <w:tab/>
        <w:t xml:space="preserve">   </w:t>
      </w:r>
    </w:p>
    <w:p w14:paraId="4CB251B2" w14:textId="77777777" w:rsidR="009B4E16" w:rsidRPr="009B4E16" w:rsidRDefault="009B4E16" w:rsidP="009B4E16">
      <w:pPr>
        <w:numPr>
          <w:ilvl w:val="0"/>
          <w:numId w:val="1"/>
        </w:num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9B4E16">
        <w:rPr>
          <w:rFonts w:ascii="Calibri" w:eastAsia="Times New Roman" w:hAnsi="Calibri" w:cs="Calibri"/>
          <w:b/>
          <w:bCs/>
          <w:sz w:val="24"/>
          <w:szCs w:val="24"/>
        </w:rPr>
        <w:t>Ke Stanovisku obecně</w:t>
      </w:r>
    </w:p>
    <w:p w14:paraId="6FF50841" w14:textId="64D3DB3C" w:rsidR="009B4E16" w:rsidRPr="009B4E16" w:rsidRDefault="009B4E16" w:rsidP="009B4E16">
      <w:pPr>
        <w:spacing w:after="120" w:line="240" w:lineRule="auto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9B4E16">
        <w:rPr>
          <w:rFonts w:ascii="Calibri" w:eastAsia="Times New Roman" w:hAnsi="Calibri" w:cs="Calibri"/>
          <w:bCs/>
          <w:sz w:val="24"/>
          <w:szCs w:val="24"/>
        </w:rPr>
        <w:t>GA ČR a TA ČR v tomto Stanovisku uvádí návrhy opatření, která jsou konceptuálně správná a</w:t>
      </w:r>
      <w:r w:rsidR="004608A2">
        <w:rPr>
          <w:rFonts w:ascii="Calibri" w:eastAsia="Times New Roman" w:hAnsi="Calibri" w:cs="Calibri"/>
          <w:bCs/>
          <w:sz w:val="24"/>
          <w:szCs w:val="24"/>
        </w:rPr>
        <w:t> </w:t>
      </w:r>
      <w:r w:rsidRPr="009B4E16">
        <w:rPr>
          <w:rFonts w:ascii="Calibri" w:eastAsia="Times New Roman" w:hAnsi="Calibri" w:cs="Calibri"/>
          <w:bCs/>
          <w:sz w:val="24"/>
          <w:szCs w:val="24"/>
        </w:rPr>
        <w:t>reflektují kontrolní zjištění, nicméně jejich dostatečnost je limitována absencí konkrétních termínů a měřitelných cílů.</w:t>
      </w:r>
    </w:p>
    <w:p w14:paraId="264AA9B7" w14:textId="25D15A4E" w:rsidR="009B4E16" w:rsidRPr="009B4E16" w:rsidRDefault="009B4E16" w:rsidP="009B4E16">
      <w:pPr>
        <w:spacing w:after="120" w:line="240" w:lineRule="auto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9B4E16">
        <w:rPr>
          <w:rFonts w:ascii="Calibri" w:eastAsia="Times New Roman" w:hAnsi="Calibri" w:cs="Calibri"/>
          <w:bCs/>
          <w:sz w:val="24"/>
          <w:szCs w:val="24"/>
        </w:rPr>
        <w:t>NKÚ k tomu uvádí, že návrhy opatření jsou vel</w:t>
      </w:r>
      <w:r>
        <w:rPr>
          <w:rFonts w:ascii="Calibri" w:eastAsia="Times New Roman" w:hAnsi="Calibri" w:cs="Calibri"/>
          <w:bCs/>
          <w:sz w:val="24"/>
          <w:szCs w:val="24"/>
        </w:rPr>
        <w:t>mi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obecné a nevyplývají z nich konkrétní kroky, které by agentury učinily.  </w:t>
      </w:r>
    </w:p>
    <w:p w14:paraId="195D8DF3" w14:textId="4176B1BC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Times New Roman" w:hAnsi="Calibri" w:cs="Calibri"/>
          <w:b/>
          <w:sz w:val="24"/>
          <w:szCs w:val="24"/>
        </w:rPr>
        <w:t>NKÚ navrhuje, aby GA ČR a TA ČR k</w:t>
      </w:r>
      <w:r w:rsidR="00BA37B9">
        <w:rPr>
          <w:rFonts w:ascii="Calibri" w:eastAsia="Times New Roman" w:hAnsi="Calibri" w:cs="Calibri"/>
          <w:b/>
          <w:sz w:val="24"/>
          <w:szCs w:val="24"/>
        </w:rPr>
        <w:t>e všem</w:t>
      </w:r>
      <w:r w:rsidRPr="009B4E16">
        <w:rPr>
          <w:rFonts w:ascii="Calibri" w:eastAsia="Times New Roman" w:hAnsi="Calibri" w:cs="Calibri"/>
          <w:b/>
          <w:sz w:val="24"/>
          <w:szCs w:val="24"/>
        </w:rPr>
        <w:t> návrhům opatření do</w:t>
      </w:r>
      <w:r>
        <w:rPr>
          <w:rFonts w:ascii="Calibri" w:eastAsia="Times New Roman" w:hAnsi="Calibri" w:cs="Calibri"/>
          <w:b/>
          <w:sz w:val="24"/>
          <w:szCs w:val="24"/>
        </w:rPr>
        <w:t>plnily</w:t>
      </w:r>
      <w:r w:rsidRPr="009B4E16">
        <w:rPr>
          <w:rFonts w:ascii="Calibri" w:eastAsia="Times New Roman" w:hAnsi="Calibri" w:cs="Calibri"/>
          <w:b/>
          <w:sz w:val="24"/>
          <w:szCs w:val="24"/>
        </w:rPr>
        <w:t xml:space="preserve"> časové termíny, kter</w:t>
      </w:r>
      <w:r w:rsidR="00BA37B9">
        <w:rPr>
          <w:rFonts w:ascii="Calibri" w:eastAsia="Times New Roman" w:hAnsi="Calibri" w:cs="Calibri"/>
          <w:b/>
          <w:sz w:val="24"/>
          <w:szCs w:val="24"/>
        </w:rPr>
        <w:t>é</w:t>
      </w:r>
      <w:r w:rsidRPr="009B4E16">
        <w:rPr>
          <w:rFonts w:ascii="Calibri" w:eastAsia="Times New Roman" w:hAnsi="Calibri" w:cs="Calibri"/>
          <w:b/>
          <w:sz w:val="24"/>
          <w:szCs w:val="24"/>
        </w:rPr>
        <w:t xml:space="preserve"> by obě agentury zavazovaly k reálným krokům a jejich plnění by bylo zpětně ověřitelné. </w:t>
      </w:r>
    </w:p>
    <w:p w14:paraId="351B6D28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Tato připomínka je zásadní.</w:t>
      </w:r>
    </w:p>
    <w:p w14:paraId="7837751D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294D4B9" w14:textId="03E4FFAC" w:rsidR="009B4E16" w:rsidRPr="009B4E16" w:rsidRDefault="009B4E16" w:rsidP="009B4E16">
      <w:pPr>
        <w:numPr>
          <w:ilvl w:val="0"/>
          <w:numId w:val="1"/>
        </w:num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9B4E16">
        <w:rPr>
          <w:rFonts w:ascii="Calibri" w:eastAsia="Times New Roman" w:hAnsi="Calibri" w:cs="Calibri"/>
          <w:b/>
          <w:bCs/>
          <w:sz w:val="24"/>
          <w:szCs w:val="24"/>
        </w:rPr>
        <w:lastRenderedPageBreak/>
        <w:t>Ke Stanovisku, části 1</w:t>
      </w:r>
      <w:r w:rsidR="00B245A1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Úvod, poslední vět</w:t>
      </w:r>
      <w:r w:rsidR="00B17A88">
        <w:rPr>
          <w:rFonts w:ascii="Calibri" w:eastAsia="Times New Roman" w:hAnsi="Calibri" w:cs="Calibri"/>
          <w:b/>
          <w:bCs/>
          <w:sz w:val="24"/>
          <w:szCs w:val="24"/>
        </w:rPr>
        <w:t>ě</w:t>
      </w:r>
    </w:p>
    <w:p w14:paraId="22B16200" w14:textId="77777777" w:rsidR="009B4E16" w:rsidRPr="009B4E16" w:rsidRDefault="009B4E16" w:rsidP="009B4E16">
      <w:pPr>
        <w:shd w:val="clear" w:color="auto" w:fill="FFFFFF"/>
        <w:spacing w:after="120" w:line="240" w:lineRule="auto"/>
        <w:ind w:left="22" w:right="11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GA ČR a TA ČR v tomto odstavci uvádí </w:t>
      </w:r>
      <w:r w:rsidRPr="009B4E16">
        <w:rPr>
          <w:rFonts w:ascii="Calibri" w:eastAsia="Times New Roman" w:hAnsi="Calibri" w:cs="Calibri"/>
          <w:bCs/>
          <w:i/>
          <w:iCs/>
          <w:sz w:val="24"/>
          <w:szCs w:val="24"/>
        </w:rPr>
        <w:t xml:space="preserve">„Zároveň však považujeme za nezbytné uvést některé skutečnosti, které doplňují kontext celého ekosystému veřejné podpory </w:t>
      </w:r>
      <w:proofErr w:type="spellStart"/>
      <w:r w:rsidRPr="009B4E16">
        <w:rPr>
          <w:rFonts w:ascii="Calibri" w:eastAsia="Times New Roman" w:hAnsi="Calibri" w:cs="Calibri"/>
          <w:bCs/>
          <w:i/>
          <w:iCs/>
          <w:sz w:val="24"/>
          <w:szCs w:val="24"/>
        </w:rPr>
        <w:t>VaVaI</w:t>
      </w:r>
      <w:proofErr w:type="spellEnd"/>
      <w:r w:rsidRPr="009B4E16">
        <w:rPr>
          <w:rFonts w:ascii="Calibri" w:eastAsia="Times New Roman" w:hAnsi="Calibri" w:cs="Calibri"/>
          <w:bCs/>
          <w:i/>
          <w:iCs/>
          <w:sz w:val="24"/>
          <w:szCs w:val="24"/>
        </w:rPr>
        <w:t xml:space="preserve"> a často jsou mimo reálné kompetence obou agentur“.</w:t>
      </w:r>
    </w:p>
    <w:p w14:paraId="0A09549A" w14:textId="2CD85547" w:rsidR="009B4E16" w:rsidRPr="009B4E16" w:rsidRDefault="009B4E16" w:rsidP="009B4E16">
      <w:p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NKÚ k tomu uvádí, že zjištění o zjednodušení systému </w:t>
      </w:r>
      <w:proofErr w:type="spellStart"/>
      <w:r w:rsidRPr="009B4E16">
        <w:rPr>
          <w:rFonts w:ascii="Calibri" w:eastAsia="Times New Roman" w:hAnsi="Calibri" w:cs="Calibri"/>
          <w:bCs/>
          <w:sz w:val="24"/>
          <w:szCs w:val="24"/>
        </w:rPr>
        <w:t>VaVaI</w:t>
      </w:r>
      <w:proofErr w:type="spellEnd"/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bylo konstatováno a nebylo TA ČR přímo vytýkáno, neboť TA ČR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 skutečně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nedisponuje aktivními možnostmi, jak zjednodušit systém </w:t>
      </w:r>
      <w:proofErr w:type="spellStart"/>
      <w:r w:rsidRPr="009B4E16">
        <w:rPr>
          <w:rFonts w:ascii="Calibri" w:eastAsia="Times New Roman" w:hAnsi="Calibri" w:cs="Calibri"/>
          <w:bCs/>
          <w:sz w:val="24"/>
          <w:szCs w:val="24"/>
        </w:rPr>
        <w:t>VaVaI</w:t>
      </w:r>
      <w:proofErr w:type="spellEnd"/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a „</w:t>
      </w:r>
      <w:r w:rsidR="00BA37B9">
        <w:rPr>
          <w:rFonts w:ascii="Calibri" w:eastAsia="Times New Roman" w:hAnsi="Calibri" w:cs="Calibri"/>
          <w:bCs/>
          <w:sz w:val="24"/>
          <w:szCs w:val="24"/>
        </w:rPr>
        <w:t>přimět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“ </w:t>
      </w:r>
      <w:r w:rsidR="003B1D33">
        <w:rPr>
          <w:rFonts w:ascii="Calibri" w:eastAsia="Times New Roman" w:hAnsi="Calibri" w:cs="Calibri"/>
          <w:bCs/>
          <w:sz w:val="24"/>
          <w:szCs w:val="24"/>
        </w:rPr>
        <w:t>nezapojené</w:t>
      </w:r>
      <w:r w:rsidR="003B1D33" w:rsidRPr="009B4E16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poskytovatele </w:t>
      </w:r>
      <w:r w:rsidR="003B1D33">
        <w:rPr>
          <w:rFonts w:ascii="Calibri" w:eastAsia="Times New Roman" w:hAnsi="Calibri" w:cs="Calibri"/>
          <w:bCs/>
          <w:sz w:val="24"/>
          <w:szCs w:val="24"/>
        </w:rPr>
        <w:t xml:space="preserve">podpory </w:t>
      </w:r>
      <w:r w:rsidRPr="009B4E16">
        <w:rPr>
          <w:rFonts w:ascii="Calibri" w:eastAsia="Times New Roman" w:hAnsi="Calibri" w:cs="Calibri"/>
          <w:bCs/>
          <w:sz w:val="24"/>
          <w:szCs w:val="24"/>
        </w:rPr>
        <w:t>využívat jejích služeb pro</w:t>
      </w:r>
      <w:r w:rsidR="004608A2">
        <w:rPr>
          <w:rFonts w:ascii="Calibri" w:eastAsia="Times New Roman" w:hAnsi="Calibri" w:cs="Calibri"/>
          <w:bCs/>
          <w:sz w:val="24"/>
          <w:szCs w:val="24"/>
        </w:rPr>
        <w:t> 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administraci programů a projektů. Zbylá zjištění </w:t>
      </w:r>
      <w:r>
        <w:rPr>
          <w:rFonts w:ascii="Calibri" w:eastAsia="Times New Roman" w:hAnsi="Calibri" w:cs="Calibri"/>
          <w:bCs/>
          <w:sz w:val="24"/>
          <w:szCs w:val="24"/>
        </w:rPr>
        <w:t xml:space="preserve">uvedená v </w:t>
      </w:r>
      <w:r w:rsidRPr="009B4E16">
        <w:rPr>
          <w:rFonts w:ascii="Calibri" w:eastAsia="Times New Roman" w:hAnsi="Calibri" w:cs="Calibri"/>
          <w:bCs/>
          <w:sz w:val="24"/>
          <w:szCs w:val="24"/>
        </w:rPr>
        <w:t>kontrolní</w:t>
      </w:r>
      <w:r>
        <w:rPr>
          <w:rFonts w:ascii="Calibri" w:eastAsia="Times New Roman" w:hAnsi="Calibri" w:cs="Calibri"/>
          <w:bCs/>
          <w:sz w:val="24"/>
          <w:szCs w:val="24"/>
        </w:rPr>
        <w:t>m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>
        <w:rPr>
          <w:rFonts w:ascii="Calibri" w:eastAsia="Times New Roman" w:hAnsi="Calibri" w:cs="Calibri"/>
          <w:bCs/>
          <w:sz w:val="24"/>
          <w:szCs w:val="24"/>
        </w:rPr>
        <w:t>závěru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jsou spjat</w:t>
      </w:r>
      <w:r w:rsidR="00BA37B9">
        <w:rPr>
          <w:rFonts w:ascii="Calibri" w:eastAsia="Times New Roman" w:hAnsi="Calibri" w:cs="Calibri"/>
          <w:bCs/>
          <w:sz w:val="24"/>
          <w:szCs w:val="24"/>
        </w:rPr>
        <w:t>a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především se strategickými rozhodnutími obou agentur. Příslušná zjištění kontrolního závěru vychází z podkladů kontrolovaných agentur. </w:t>
      </w:r>
    </w:p>
    <w:p w14:paraId="22FF3DB6" w14:textId="45AC4BF9" w:rsidR="009B4E16" w:rsidRPr="009B4E16" w:rsidRDefault="009B4E16" w:rsidP="009B4E16">
      <w:p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i/>
          <w:iCs/>
          <w:sz w:val="24"/>
          <w:szCs w:val="24"/>
        </w:rPr>
      </w:pPr>
      <w:r w:rsidRPr="009B4E16">
        <w:rPr>
          <w:rFonts w:ascii="Calibri" w:eastAsia="Times New Roman" w:hAnsi="Calibri" w:cs="Calibri"/>
          <w:b/>
          <w:sz w:val="24"/>
          <w:szCs w:val="24"/>
        </w:rPr>
        <w:t>NKÚ navrhuje, aby GA ČR a TA ČR v uvedené větě vypustil část věty „</w:t>
      </w:r>
      <w:r w:rsidRPr="009B4E16">
        <w:rPr>
          <w:rFonts w:ascii="Calibri" w:eastAsia="Times New Roman" w:hAnsi="Calibri" w:cs="Calibri"/>
          <w:b/>
          <w:i/>
          <w:iCs/>
          <w:sz w:val="24"/>
          <w:szCs w:val="24"/>
        </w:rPr>
        <w:t>často jsou mimo reálné kompetence obou agentur</w:t>
      </w:r>
      <w:r w:rsidRPr="009B4E16">
        <w:rPr>
          <w:rFonts w:ascii="Calibri" w:eastAsia="Times New Roman" w:hAnsi="Calibri" w:cs="Calibri"/>
          <w:b/>
          <w:sz w:val="24"/>
          <w:szCs w:val="24"/>
        </w:rPr>
        <w:t xml:space="preserve">“ a nahradil </w:t>
      </w:r>
      <w:r>
        <w:rPr>
          <w:rFonts w:ascii="Calibri" w:eastAsia="Times New Roman" w:hAnsi="Calibri" w:cs="Calibri"/>
          <w:b/>
          <w:sz w:val="24"/>
          <w:szCs w:val="24"/>
        </w:rPr>
        <w:t>jej novou částí</w:t>
      </w:r>
      <w:r w:rsidRPr="009B4E16">
        <w:rPr>
          <w:rFonts w:ascii="Calibri" w:eastAsia="Times New Roman" w:hAnsi="Calibri" w:cs="Calibri"/>
          <w:b/>
          <w:sz w:val="24"/>
          <w:szCs w:val="24"/>
        </w:rPr>
        <w:t xml:space="preserve"> „</w:t>
      </w:r>
      <w:r w:rsidRPr="009B4E16">
        <w:rPr>
          <w:rFonts w:ascii="Calibri" w:eastAsia="Times New Roman" w:hAnsi="Calibri" w:cs="Calibri"/>
          <w:b/>
          <w:i/>
          <w:iCs/>
          <w:sz w:val="24"/>
          <w:szCs w:val="24"/>
        </w:rPr>
        <w:t>spadají i do rozhodnutí na</w:t>
      </w:r>
      <w:r w:rsidR="004608A2">
        <w:rPr>
          <w:rFonts w:ascii="Calibri" w:eastAsia="Times New Roman" w:hAnsi="Calibri" w:cs="Calibri"/>
          <w:b/>
          <w:i/>
          <w:iCs/>
          <w:sz w:val="24"/>
          <w:szCs w:val="24"/>
        </w:rPr>
        <w:t> </w:t>
      </w:r>
      <w:r w:rsidRPr="009B4E16">
        <w:rPr>
          <w:rFonts w:ascii="Calibri" w:eastAsia="Times New Roman" w:hAnsi="Calibri" w:cs="Calibri"/>
          <w:b/>
          <w:i/>
          <w:iCs/>
          <w:sz w:val="24"/>
          <w:szCs w:val="24"/>
        </w:rPr>
        <w:t>národní úrovni</w:t>
      </w:r>
      <w:r w:rsidRPr="009B4E16">
        <w:rPr>
          <w:rFonts w:ascii="Calibri" w:eastAsia="Times New Roman" w:hAnsi="Calibri" w:cs="Calibri"/>
          <w:b/>
          <w:sz w:val="24"/>
          <w:szCs w:val="24"/>
        </w:rPr>
        <w:t xml:space="preserve">“ nebo </w:t>
      </w:r>
      <w:r w:rsidRPr="009B4E16">
        <w:rPr>
          <w:rFonts w:ascii="Calibri" w:eastAsia="Times New Roman" w:hAnsi="Calibri" w:cs="Calibri"/>
          <w:b/>
          <w:i/>
          <w:iCs/>
          <w:sz w:val="24"/>
          <w:szCs w:val="24"/>
        </w:rPr>
        <w:t xml:space="preserve">„jsou ovlivňovány i jinými faktory.“  </w:t>
      </w:r>
    </w:p>
    <w:p w14:paraId="34EF3793" w14:textId="77777777" w:rsidR="009B4E16" w:rsidRPr="009B4E16" w:rsidRDefault="009B4E16" w:rsidP="009B4E16">
      <w:p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Cs/>
          <w:sz w:val="24"/>
          <w:szCs w:val="24"/>
        </w:rPr>
      </w:pPr>
    </w:p>
    <w:p w14:paraId="5833CEAE" w14:textId="2921CB0F" w:rsidR="009B4E16" w:rsidRPr="009B4E16" w:rsidRDefault="009B4E16" w:rsidP="009B4E16">
      <w:pPr>
        <w:numPr>
          <w:ilvl w:val="0"/>
          <w:numId w:val="1"/>
        </w:num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9B4E16">
        <w:rPr>
          <w:rFonts w:ascii="Calibri" w:eastAsia="Times New Roman" w:hAnsi="Calibri" w:cs="Calibri"/>
          <w:b/>
          <w:bCs/>
          <w:sz w:val="24"/>
          <w:szCs w:val="24"/>
        </w:rPr>
        <w:t>Ke Stanovisku, části 2</w:t>
      </w:r>
      <w:r w:rsidR="00B245A1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Hlavní zjištění z kontroly, bodu 2.1, třetí</w:t>
      </w:r>
      <w:r w:rsidR="0072388B">
        <w:rPr>
          <w:rFonts w:ascii="Calibri" w:eastAsia="Times New Roman" w:hAnsi="Calibri" w:cs="Calibri"/>
          <w:b/>
          <w:bCs/>
          <w:sz w:val="24"/>
          <w:szCs w:val="24"/>
        </w:rPr>
        <w:t>mu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odstavc</w:t>
      </w:r>
      <w:r w:rsidR="0072388B">
        <w:rPr>
          <w:rFonts w:ascii="Calibri" w:eastAsia="Times New Roman" w:hAnsi="Calibri" w:cs="Calibri"/>
          <w:b/>
          <w:bCs/>
          <w:sz w:val="24"/>
          <w:szCs w:val="24"/>
        </w:rPr>
        <w:t>i</w:t>
      </w:r>
    </w:p>
    <w:p w14:paraId="568CBF9A" w14:textId="77777777" w:rsidR="009B4E16" w:rsidRPr="009B4E16" w:rsidRDefault="009B4E16" w:rsidP="009B4E16">
      <w:pPr>
        <w:shd w:val="clear" w:color="auto" w:fill="FFFFFF"/>
        <w:spacing w:after="120" w:line="240" w:lineRule="auto"/>
        <w:ind w:left="22" w:right="11"/>
        <w:jc w:val="both"/>
        <w:rPr>
          <w:rFonts w:ascii="Calibri" w:eastAsia="Calibri" w:hAnsi="Calibri" w:cs="Calibri"/>
          <w:i/>
          <w:sz w:val="24"/>
          <w:szCs w:val="24"/>
        </w:rPr>
      </w:pPr>
      <w:r w:rsidRPr="009B4E16">
        <w:rPr>
          <w:rFonts w:ascii="Calibri" w:eastAsia="Calibri" w:hAnsi="Calibri" w:cs="Calibri"/>
          <w:sz w:val="24"/>
          <w:szCs w:val="24"/>
        </w:rPr>
        <w:t xml:space="preserve">GA ČR v tomto odstavci uvádí: </w:t>
      </w:r>
      <w:r w:rsidRPr="009B4E16">
        <w:rPr>
          <w:rFonts w:ascii="Calibri" w:eastAsia="Calibri" w:hAnsi="Calibri" w:cs="Calibri"/>
          <w:i/>
          <w:sz w:val="24"/>
          <w:szCs w:val="24"/>
        </w:rPr>
        <w:t>„V budoucnu bude GA ČR usilovat, aby minimálně 2/3 účelové podpory směřovaly do projektů, které spadají do oblastí definovaných v Národních prioritách orientovaného výzkumu“.</w:t>
      </w:r>
    </w:p>
    <w:p w14:paraId="709F6157" w14:textId="6980A605" w:rsidR="009B4E16" w:rsidRPr="009B4E16" w:rsidRDefault="009B4E16" w:rsidP="009B4E16">
      <w:pPr>
        <w:spacing w:after="120" w:line="240" w:lineRule="auto"/>
        <w:jc w:val="both"/>
        <w:rPr>
          <w:rFonts w:ascii="Calibri" w:eastAsia="Times New Roman" w:hAnsi="Calibri" w:cs="Calibri"/>
          <w:color w:val="EE0000"/>
          <w:sz w:val="24"/>
          <w:szCs w:val="24"/>
        </w:rPr>
      </w:pPr>
      <w:r w:rsidRPr="009B4E16">
        <w:rPr>
          <w:rFonts w:ascii="Calibri" w:eastAsia="Times New Roman" w:hAnsi="Calibri" w:cs="Calibri"/>
          <w:sz w:val="24"/>
          <w:szCs w:val="24"/>
        </w:rPr>
        <w:t xml:space="preserve">NKÚ k tomu uvádí, že v této části absentuje odpovídající navržené opatření včetně uvedení konkrétních termínů. GA ČR </w:t>
      </w:r>
      <w:r>
        <w:rPr>
          <w:rFonts w:ascii="Calibri" w:eastAsia="Times New Roman" w:hAnsi="Calibri" w:cs="Calibri"/>
          <w:sz w:val="24"/>
          <w:szCs w:val="24"/>
        </w:rPr>
        <w:t>uvedla</w:t>
      </w:r>
      <w:r w:rsidRPr="009B4E16">
        <w:rPr>
          <w:rFonts w:ascii="Calibri" w:eastAsia="Times New Roman" w:hAnsi="Calibri" w:cs="Calibri"/>
          <w:sz w:val="24"/>
          <w:szCs w:val="24"/>
        </w:rPr>
        <w:t xml:space="preserve"> jen vyjádření</w:t>
      </w:r>
      <w:r w:rsidR="00BA37B9">
        <w:rPr>
          <w:rFonts w:ascii="Calibri" w:eastAsia="Times New Roman" w:hAnsi="Calibri" w:cs="Calibri"/>
          <w:sz w:val="24"/>
          <w:szCs w:val="24"/>
        </w:rPr>
        <w:t xml:space="preserve"> ve formě příslibu b</w:t>
      </w:r>
      <w:r w:rsidRPr="009B4E16">
        <w:rPr>
          <w:rFonts w:ascii="Calibri" w:eastAsia="Times New Roman" w:hAnsi="Calibri" w:cs="Calibri"/>
          <w:sz w:val="24"/>
          <w:szCs w:val="24"/>
        </w:rPr>
        <w:t>ez konkrétního časového rámce</w:t>
      </w:r>
      <w:r w:rsidR="00BA37B9">
        <w:rPr>
          <w:rFonts w:ascii="Calibri" w:eastAsia="Times New Roman" w:hAnsi="Calibri" w:cs="Calibri"/>
          <w:sz w:val="24"/>
          <w:szCs w:val="24"/>
        </w:rPr>
        <w:t xml:space="preserve">, z něhož </w:t>
      </w:r>
      <w:r w:rsidR="00742A66">
        <w:rPr>
          <w:rFonts w:ascii="Calibri" w:eastAsia="Times New Roman" w:hAnsi="Calibri" w:cs="Calibri"/>
          <w:sz w:val="24"/>
          <w:szCs w:val="24"/>
        </w:rPr>
        <w:t>tak</w:t>
      </w:r>
      <w:r w:rsidR="00BA37B9">
        <w:rPr>
          <w:rFonts w:ascii="Calibri" w:eastAsia="Times New Roman" w:hAnsi="Calibri" w:cs="Calibri"/>
          <w:sz w:val="24"/>
          <w:szCs w:val="24"/>
        </w:rPr>
        <w:t xml:space="preserve"> nevyplývá</w:t>
      </w:r>
      <w:r w:rsidRPr="009B4E16">
        <w:rPr>
          <w:rFonts w:ascii="Calibri" w:eastAsia="Times New Roman" w:hAnsi="Calibri" w:cs="Calibri"/>
          <w:sz w:val="24"/>
          <w:szCs w:val="24"/>
        </w:rPr>
        <w:t xml:space="preserve"> konkrétní opatření.</w:t>
      </w:r>
    </w:p>
    <w:p w14:paraId="2D66441D" w14:textId="4C1F26AE" w:rsidR="009B4E16" w:rsidRPr="009B4E16" w:rsidRDefault="009B4E16" w:rsidP="009B4E1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9B4E16">
        <w:rPr>
          <w:rFonts w:eastAsia="Times New Roman" w:cstheme="minorHAnsi"/>
          <w:sz w:val="24"/>
          <w:szCs w:val="24"/>
          <w:lang w:eastAsia="cs-CZ"/>
        </w:rPr>
        <w:t>GA ČR pouze uvádí, že v návrhu rozpočtu usiluje o navýšení prostředků pro vyhlášení soutěže pro skupinu grantových projektů orientovaného základního výzkumu. GA ČR dále uvádí, že</w:t>
      </w:r>
      <w:r w:rsidR="004608A2">
        <w:rPr>
          <w:rFonts w:eastAsia="Times New Roman" w:cstheme="minorHAnsi"/>
          <w:sz w:val="24"/>
          <w:szCs w:val="24"/>
          <w:lang w:eastAsia="cs-CZ"/>
        </w:rPr>
        <w:t> </w:t>
      </w:r>
      <w:r w:rsidRPr="009B4E16">
        <w:rPr>
          <w:rFonts w:eastAsia="Times New Roman" w:cstheme="minorHAnsi"/>
          <w:sz w:val="24"/>
          <w:szCs w:val="24"/>
          <w:lang w:eastAsia="cs-CZ"/>
        </w:rPr>
        <w:t xml:space="preserve">připravila novou skupinu grantových projektů </w:t>
      </w:r>
      <w:proofErr w:type="spellStart"/>
      <w:r w:rsidRPr="009B4E16">
        <w:rPr>
          <w:rFonts w:eastAsia="Times New Roman" w:cstheme="minorHAnsi"/>
          <w:sz w:val="24"/>
          <w:szCs w:val="24"/>
          <w:lang w:eastAsia="cs-CZ"/>
        </w:rPr>
        <w:t>Proof</w:t>
      </w:r>
      <w:proofErr w:type="spellEnd"/>
      <w:r w:rsidRPr="009B4E16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9B4E16">
        <w:rPr>
          <w:rFonts w:eastAsia="Times New Roman" w:cstheme="minorHAnsi"/>
          <w:sz w:val="24"/>
          <w:szCs w:val="24"/>
          <w:lang w:eastAsia="cs-CZ"/>
        </w:rPr>
        <w:t>of</w:t>
      </w:r>
      <w:proofErr w:type="spellEnd"/>
      <w:r w:rsidRPr="009B4E16">
        <w:rPr>
          <w:rFonts w:eastAsia="Times New Roman" w:cstheme="minorHAnsi"/>
          <w:sz w:val="24"/>
          <w:szCs w:val="24"/>
          <w:lang w:eastAsia="cs-CZ"/>
        </w:rPr>
        <w:t xml:space="preserve"> </w:t>
      </w:r>
      <w:proofErr w:type="spellStart"/>
      <w:r w:rsidRPr="009B4E16">
        <w:rPr>
          <w:rFonts w:eastAsia="Times New Roman" w:cstheme="minorHAnsi"/>
          <w:sz w:val="24"/>
          <w:szCs w:val="24"/>
          <w:lang w:eastAsia="cs-CZ"/>
        </w:rPr>
        <w:t>Concept</w:t>
      </w:r>
      <w:proofErr w:type="spellEnd"/>
      <w:r w:rsidRPr="009B4E16">
        <w:rPr>
          <w:rFonts w:eastAsia="Times New Roman" w:cstheme="minorHAnsi"/>
          <w:sz w:val="24"/>
          <w:szCs w:val="24"/>
          <w:lang w:eastAsia="cs-CZ"/>
        </w:rPr>
        <w:t xml:space="preserve">, jejímž cílem je pomoci projektům základního výzkumu rozvinout aplikační potenciál. Realizace obou zmíněných aktivit závisí na schválené výši státního rozpočtu pro tuto oblast, a tudíž hrozí potenciální riziko, že tyto orientované skupiny grantových projektů nebudou vůbec realizovány. </w:t>
      </w:r>
    </w:p>
    <w:p w14:paraId="474FC99A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9B4E16">
        <w:rPr>
          <w:rFonts w:ascii="Calibri" w:eastAsia="Times New Roman" w:hAnsi="Calibri" w:cs="Calibri"/>
          <w:sz w:val="24"/>
          <w:szCs w:val="24"/>
        </w:rPr>
        <w:t>Dále se NKÚ domnívá, že podpora projektů, které se přihlásí k Národním prioritám orientovaného výzkumu, vzhledem k širokému rozpětí těchto priorit, není dostatečná. GA ČR by měla podporovat projekty řešící současné nebo v budoucnu očekávané problémy, což Národní priority orientovaného výzkumu schválené v roce 2011 nejsou.</w:t>
      </w:r>
    </w:p>
    <w:p w14:paraId="5AF5F435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NKÚ navrhuje, aby GA ČR uvedlo ve Stanovisku konkrétní návrh opatření s konkrétním termínem, který daný nedostatek odstraní.</w:t>
      </w:r>
    </w:p>
    <w:p w14:paraId="28A6783C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Tato připomínka je zásadní.</w:t>
      </w:r>
    </w:p>
    <w:p w14:paraId="155F6D9E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8FCF562" w14:textId="27DB6018" w:rsidR="009B4E16" w:rsidRPr="009B4E16" w:rsidRDefault="009B4E16" w:rsidP="009B4E16">
      <w:pPr>
        <w:numPr>
          <w:ilvl w:val="0"/>
          <w:numId w:val="1"/>
        </w:num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9B4E16">
        <w:rPr>
          <w:rFonts w:ascii="Calibri" w:eastAsia="Times New Roman" w:hAnsi="Calibri" w:cs="Calibri"/>
          <w:b/>
          <w:bCs/>
          <w:sz w:val="24"/>
          <w:szCs w:val="24"/>
        </w:rPr>
        <w:t>Ke Stanovisku, části 2</w:t>
      </w:r>
      <w:r w:rsidR="00B245A1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Hlavní zjištění z kontroly, bodu 2.2</w:t>
      </w:r>
    </w:p>
    <w:p w14:paraId="6B5E5FCE" w14:textId="5C933704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9B4E16">
        <w:rPr>
          <w:rFonts w:ascii="Calibri" w:eastAsia="Calibri" w:hAnsi="Calibri" w:cs="Calibri"/>
          <w:bCs/>
          <w:sz w:val="24"/>
          <w:szCs w:val="24"/>
        </w:rPr>
        <w:t>TA ČR v tomto bodě uvádí návrhy opatření zaměřené na spolupráci soukromého sektoru a</w:t>
      </w:r>
      <w:r w:rsidR="004608A2">
        <w:rPr>
          <w:rFonts w:ascii="Calibri" w:eastAsia="Calibri" w:hAnsi="Calibri" w:cs="Calibri"/>
          <w:bCs/>
          <w:sz w:val="24"/>
          <w:szCs w:val="24"/>
        </w:rPr>
        <w:t> </w:t>
      </w:r>
      <w:r w:rsidRPr="009B4E16">
        <w:rPr>
          <w:rFonts w:ascii="Calibri" w:eastAsia="Calibri" w:hAnsi="Calibri" w:cs="Calibri"/>
          <w:bCs/>
          <w:sz w:val="24"/>
          <w:szCs w:val="24"/>
        </w:rPr>
        <w:t xml:space="preserve">výzkumných organizací. </w:t>
      </w:r>
    </w:p>
    <w:p w14:paraId="1E8E4C50" w14:textId="77455394" w:rsidR="009B4E16" w:rsidRPr="009B4E16" w:rsidRDefault="009B4E16" w:rsidP="009B4E1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9B4E16">
        <w:rPr>
          <w:rFonts w:ascii="Calibri" w:eastAsia="Times New Roman" w:hAnsi="Calibri" w:cs="Calibri"/>
          <w:sz w:val="24"/>
          <w:szCs w:val="24"/>
        </w:rPr>
        <w:t>NKÚ vítá navrhovaná opatření jako snahu o systémové změny a komplexní přístup k dané problematice. Tato opatření však nejsou opět nijak časově ohraničena a chybí kvantifikace cílového stavu.</w:t>
      </w:r>
    </w:p>
    <w:p w14:paraId="541250E2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lastRenderedPageBreak/>
        <w:t>NKÚ navrhuje zavést měřitelné cíle s termíny pro následnou evaluaci dopadů.</w:t>
      </w:r>
    </w:p>
    <w:p w14:paraId="5DB5D44D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Tato připomínka je zásadní.</w:t>
      </w:r>
    </w:p>
    <w:p w14:paraId="239E84E3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135CB60F" w14:textId="43450EE7" w:rsidR="009B4E16" w:rsidRPr="009B4E16" w:rsidRDefault="009B4E16" w:rsidP="009B4E16">
      <w:pPr>
        <w:numPr>
          <w:ilvl w:val="0"/>
          <w:numId w:val="1"/>
        </w:num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9B4E16">
        <w:rPr>
          <w:rFonts w:ascii="Calibri" w:eastAsia="Times New Roman" w:hAnsi="Calibri" w:cs="Calibri"/>
          <w:b/>
          <w:bCs/>
          <w:sz w:val="24"/>
          <w:szCs w:val="24"/>
        </w:rPr>
        <w:t>Ke Stanovisku, části 2</w:t>
      </w:r>
      <w:r w:rsidR="00B245A1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Hlavní zjištění z kontroly, bodu 2.3</w:t>
      </w:r>
    </w:p>
    <w:p w14:paraId="66C11CC3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9B4E16">
        <w:rPr>
          <w:rFonts w:ascii="Calibri" w:eastAsia="Calibri" w:hAnsi="Calibri" w:cs="Calibri"/>
          <w:bCs/>
          <w:sz w:val="24"/>
          <w:szCs w:val="24"/>
        </w:rPr>
        <w:t>TA ČR v tomto bodě uvádí návrhy opatření na zvýšení ochrany duševního vlastnictví.</w:t>
      </w:r>
    </w:p>
    <w:p w14:paraId="19795157" w14:textId="5638452D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Times New Roman" w:hAnsi="Calibri" w:cs="Calibri"/>
          <w:sz w:val="24"/>
          <w:szCs w:val="24"/>
        </w:rPr>
        <w:t>NKÚ k tomu uvádí</w:t>
      </w:r>
      <w:r w:rsidRPr="009B4E16">
        <w:rPr>
          <w:rFonts w:eastAsia="Times New Roman" w:cstheme="minorHAnsi"/>
          <w:sz w:val="24"/>
          <w:szCs w:val="24"/>
        </w:rPr>
        <w:t>, že</w:t>
      </w:r>
      <w:r w:rsidRPr="009B4E16">
        <w:rPr>
          <w:rFonts w:eastAsia="Times New Roman" w:cstheme="minorHAnsi"/>
          <w:sz w:val="24"/>
          <w:szCs w:val="24"/>
          <w:lang w:eastAsia="cs-CZ"/>
        </w:rPr>
        <w:t xml:space="preserve"> navrhovaná opatření částečně reflektují strukturální změny v</w:t>
      </w:r>
      <w:r w:rsidR="004608A2">
        <w:rPr>
          <w:rFonts w:eastAsia="Times New Roman" w:cstheme="minorHAnsi"/>
          <w:sz w:val="24"/>
          <w:szCs w:val="24"/>
          <w:lang w:eastAsia="cs-CZ"/>
        </w:rPr>
        <w:t> </w:t>
      </w:r>
      <w:r w:rsidRPr="009B4E16">
        <w:rPr>
          <w:rFonts w:eastAsia="Times New Roman" w:cstheme="minorHAnsi"/>
          <w:sz w:val="24"/>
          <w:szCs w:val="24"/>
          <w:lang w:eastAsia="cs-CZ"/>
        </w:rPr>
        <w:t>inovačním ekosystému, nicméně chybí zde konkrétní nástroje pro motivaci výzkumníků.</w:t>
      </w:r>
    </w:p>
    <w:p w14:paraId="5E322AAE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NKÚ navrhuje, aby TA ČR uvedla konkrétní nástroje a časový rámec jejich zavedení.</w:t>
      </w:r>
    </w:p>
    <w:p w14:paraId="459C3844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Tato připomínka je zásadní.</w:t>
      </w:r>
    </w:p>
    <w:p w14:paraId="1527677E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23B9F7A2" w14:textId="57405D97" w:rsidR="009B4E16" w:rsidRPr="009B4E16" w:rsidRDefault="009B4E16" w:rsidP="009B4E16">
      <w:pPr>
        <w:numPr>
          <w:ilvl w:val="0"/>
          <w:numId w:val="1"/>
        </w:num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9B4E16">
        <w:rPr>
          <w:rFonts w:ascii="Calibri" w:eastAsia="Times New Roman" w:hAnsi="Calibri" w:cs="Calibri"/>
          <w:b/>
          <w:bCs/>
          <w:sz w:val="24"/>
          <w:szCs w:val="24"/>
        </w:rPr>
        <w:t>Ke Stanovisku, části 2</w:t>
      </w:r>
      <w:r w:rsidR="00B245A1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Hlavní zjištění z kontroly, bodu 2.5</w:t>
      </w:r>
    </w:p>
    <w:p w14:paraId="305DD7CC" w14:textId="46B14F54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9B4E16">
        <w:rPr>
          <w:rFonts w:ascii="Calibri" w:eastAsia="Calibri" w:hAnsi="Calibri" w:cs="Calibri"/>
          <w:bCs/>
          <w:sz w:val="24"/>
          <w:szCs w:val="24"/>
        </w:rPr>
        <w:t xml:space="preserve">GA ČR a TA ČR uvádí nejen návrhy opatření, ale zmiňují </w:t>
      </w:r>
      <w:r w:rsidR="00EC47F6" w:rsidRPr="009B4E16">
        <w:rPr>
          <w:rFonts w:ascii="Calibri" w:eastAsia="Calibri" w:hAnsi="Calibri" w:cs="Calibri"/>
          <w:bCs/>
          <w:sz w:val="24"/>
          <w:szCs w:val="24"/>
        </w:rPr>
        <w:t xml:space="preserve">též </w:t>
      </w:r>
      <w:r w:rsidRPr="009B4E16">
        <w:rPr>
          <w:rFonts w:ascii="Calibri" w:eastAsia="Calibri" w:hAnsi="Calibri" w:cs="Calibri"/>
          <w:bCs/>
          <w:sz w:val="24"/>
          <w:szCs w:val="24"/>
        </w:rPr>
        <w:t xml:space="preserve">důležitost spolupráce. </w:t>
      </w:r>
    </w:p>
    <w:p w14:paraId="1B2C6DB3" w14:textId="130C5AAA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9B4E16">
        <w:rPr>
          <w:rFonts w:ascii="Calibri" w:eastAsia="Calibri" w:hAnsi="Calibri" w:cs="Calibri"/>
          <w:bCs/>
          <w:sz w:val="24"/>
          <w:szCs w:val="24"/>
        </w:rPr>
        <w:t xml:space="preserve">NKÚ k tomu uvádí, že vnímá tato navrhovaná opatření </w:t>
      </w:r>
      <w:r w:rsidR="00EC47F6">
        <w:rPr>
          <w:rFonts w:ascii="Calibri" w:eastAsia="Calibri" w:hAnsi="Calibri" w:cs="Calibri"/>
          <w:bCs/>
          <w:sz w:val="24"/>
          <w:szCs w:val="24"/>
        </w:rPr>
        <w:t xml:space="preserve">jako </w:t>
      </w:r>
      <w:r w:rsidRPr="009B4E16">
        <w:rPr>
          <w:rFonts w:ascii="Calibri" w:eastAsia="Calibri" w:hAnsi="Calibri" w:cs="Calibri"/>
          <w:bCs/>
          <w:sz w:val="24"/>
          <w:szCs w:val="24"/>
        </w:rPr>
        <w:t xml:space="preserve">dostatečná </w:t>
      </w:r>
      <w:r w:rsidR="00EC47F6">
        <w:rPr>
          <w:rFonts w:ascii="Calibri" w:eastAsia="Calibri" w:hAnsi="Calibri" w:cs="Calibri"/>
          <w:bCs/>
          <w:sz w:val="24"/>
          <w:szCs w:val="24"/>
        </w:rPr>
        <w:t xml:space="preserve">pouze </w:t>
      </w:r>
      <w:r w:rsidRPr="009B4E16">
        <w:rPr>
          <w:rFonts w:ascii="Calibri" w:eastAsia="Calibri" w:hAnsi="Calibri" w:cs="Calibri"/>
          <w:bCs/>
          <w:sz w:val="24"/>
          <w:szCs w:val="24"/>
        </w:rPr>
        <w:t>pokud do</w:t>
      </w:r>
      <w:r w:rsidR="004608A2">
        <w:rPr>
          <w:rFonts w:ascii="Calibri" w:eastAsia="Calibri" w:hAnsi="Calibri" w:cs="Calibri"/>
          <w:bCs/>
          <w:sz w:val="24"/>
          <w:szCs w:val="24"/>
        </w:rPr>
        <w:t> </w:t>
      </w:r>
      <w:r w:rsidRPr="009B4E16">
        <w:rPr>
          <w:rFonts w:ascii="Calibri" w:eastAsia="Calibri" w:hAnsi="Calibri" w:cs="Calibri"/>
          <w:bCs/>
          <w:sz w:val="24"/>
          <w:szCs w:val="24"/>
        </w:rPr>
        <w:t xml:space="preserve">budoucna opravdu </w:t>
      </w:r>
      <w:r w:rsidR="00EC47F6">
        <w:rPr>
          <w:rFonts w:ascii="Calibri" w:eastAsia="Calibri" w:hAnsi="Calibri" w:cs="Calibri"/>
          <w:bCs/>
          <w:sz w:val="24"/>
          <w:szCs w:val="24"/>
        </w:rPr>
        <w:t>povedou</w:t>
      </w:r>
      <w:r w:rsidR="00EC47F6" w:rsidRPr="009B4E16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Pr="009B4E16">
        <w:rPr>
          <w:rFonts w:ascii="Calibri" w:eastAsia="Calibri" w:hAnsi="Calibri" w:cs="Calibri"/>
          <w:bCs/>
          <w:sz w:val="24"/>
          <w:szCs w:val="24"/>
        </w:rPr>
        <w:t>ke konkrétním společným krokům pro praktické propojení základního a aplikovaného výzkumu.</w:t>
      </w:r>
    </w:p>
    <w:p w14:paraId="12793589" w14:textId="67213328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 xml:space="preserve">NKÚ navrhuje, </w:t>
      </w:r>
      <w:r w:rsidR="00EC47F6">
        <w:rPr>
          <w:rFonts w:ascii="Calibri" w:eastAsia="Calibri" w:hAnsi="Calibri" w:cs="Calibri"/>
          <w:b/>
          <w:sz w:val="24"/>
          <w:szCs w:val="24"/>
        </w:rPr>
        <w:t>doplnit</w:t>
      </w:r>
      <w:r w:rsidRPr="009B4E16">
        <w:rPr>
          <w:rFonts w:ascii="Calibri" w:eastAsia="Calibri" w:hAnsi="Calibri" w:cs="Calibri"/>
          <w:b/>
          <w:sz w:val="24"/>
          <w:szCs w:val="24"/>
        </w:rPr>
        <w:t xml:space="preserve"> opatření </w:t>
      </w:r>
      <w:r w:rsidR="00EC47F6">
        <w:rPr>
          <w:rFonts w:ascii="Calibri" w:eastAsia="Calibri" w:hAnsi="Calibri" w:cs="Calibri"/>
          <w:b/>
          <w:sz w:val="24"/>
          <w:szCs w:val="24"/>
        </w:rPr>
        <w:t>o</w:t>
      </w:r>
      <w:r w:rsidR="00EC47F6" w:rsidRPr="009B4E16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B4E16">
        <w:rPr>
          <w:rFonts w:ascii="Calibri" w:eastAsia="Calibri" w:hAnsi="Calibri" w:cs="Calibri"/>
          <w:b/>
          <w:sz w:val="24"/>
          <w:szCs w:val="24"/>
        </w:rPr>
        <w:t>jasně stanovené kroky spolupráce včetně jejich časového určení.</w:t>
      </w:r>
    </w:p>
    <w:p w14:paraId="4F078383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Tato připomínka je zásadní.</w:t>
      </w:r>
    </w:p>
    <w:p w14:paraId="6E4D2203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201EBCBC" w14:textId="41A92C88" w:rsidR="009B4E16" w:rsidRPr="009B4E16" w:rsidRDefault="009B4E16" w:rsidP="009B4E16">
      <w:pPr>
        <w:numPr>
          <w:ilvl w:val="0"/>
          <w:numId w:val="1"/>
        </w:num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9B4E16">
        <w:rPr>
          <w:rFonts w:ascii="Calibri" w:eastAsia="Times New Roman" w:hAnsi="Calibri" w:cs="Calibri"/>
          <w:b/>
          <w:bCs/>
          <w:sz w:val="24"/>
          <w:szCs w:val="24"/>
        </w:rPr>
        <w:t>Ke Stanovisku, části 2</w:t>
      </w:r>
      <w:r w:rsidR="00B245A1">
        <w:rPr>
          <w:rFonts w:ascii="Calibri" w:eastAsia="Times New Roman" w:hAnsi="Calibri" w:cs="Calibri"/>
          <w:b/>
          <w:bCs/>
          <w:sz w:val="24"/>
          <w:szCs w:val="24"/>
        </w:rPr>
        <w:t>.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Hlavní zjištění z kontroly, bodu 2.6</w:t>
      </w:r>
    </w:p>
    <w:p w14:paraId="563B44A6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9B4E16">
        <w:rPr>
          <w:rFonts w:ascii="Calibri" w:eastAsia="Calibri" w:hAnsi="Calibri" w:cs="Calibri"/>
          <w:bCs/>
          <w:sz w:val="24"/>
          <w:szCs w:val="24"/>
        </w:rPr>
        <w:t>GA ČR v tomto bodě uvádí opatření směřující ke zvyšování kvality výzkumu, zejména prostřednictvím soutěže EXPRO, reformy hodnocení vědy (</w:t>
      </w:r>
      <w:proofErr w:type="spellStart"/>
      <w:r w:rsidRPr="009B4E16">
        <w:rPr>
          <w:rFonts w:ascii="Calibri" w:eastAsia="Calibri" w:hAnsi="Calibri" w:cs="Calibri"/>
          <w:bCs/>
          <w:sz w:val="24"/>
          <w:szCs w:val="24"/>
        </w:rPr>
        <w:t>CoARA</w:t>
      </w:r>
      <w:proofErr w:type="spellEnd"/>
      <w:r w:rsidRPr="009B4E16">
        <w:rPr>
          <w:rFonts w:ascii="Calibri" w:eastAsia="Calibri" w:hAnsi="Calibri" w:cs="Calibri"/>
          <w:bCs/>
          <w:sz w:val="24"/>
          <w:szCs w:val="24"/>
        </w:rPr>
        <w:t xml:space="preserve">) a snahy o navýšení rozpočtu. </w:t>
      </w:r>
    </w:p>
    <w:p w14:paraId="3AC571AA" w14:textId="5AB89EA0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9B4E16">
        <w:rPr>
          <w:rFonts w:ascii="Calibri" w:eastAsia="Calibri" w:hAnsi="Calibri" w:cs="Calibri"/>
          <w:bCs/>
          <w:sz w:val="24"/>
          <w:szCs w:val="24"/>
        </w:rPr>
        <w:t>NKU k tomu uvádí, že přestože jsou opatření věcně správná, jejich dostatečnost je omezená absencí konkrétních cílových hodnot indikátorů kvality a časového rámce realizace. Bez</w:t>
      </w:r>
      <w:r w:rsidR="004608A2">
        <w:rPr>
          <w:rFonts w:ascii="Calibri" w:eastAsia="Calibri" w:hAnsi="Calibri" w:cs="Calibri"/>
          <w:bCs/>
          <w:sz w:val="24"/>
          <w:szCs w:val="24"/>
        </w:rPr>
        <w:t> </w:t>
      </w:r>
      <w:r w:rsidRPr="009B4E16">
        <w:rPr>
          <w:rFonts w:ascii="Calibri" w:eastAsia="Calibri" w:hAnsi="Calibri" w:cs="Calibri"/>
          <w:bCs/>
          <w:sz w:val="24"/>
          <w:szCs w:val="24"/>
        </w:rPr>
        <w:t>těchto prvků nelze efektivně vyhodnocovat přínos podpory.</w:t>
      </w:r>
    </w:p>
    <w:p w14:paraId="43A66D09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NKÚ navrhuje doplnit toto opatření o měřitelné cíle a termíny realizace.</w:t>
      </w:r>
    </w:p>
    <w:p w14:paraId="62B1C9C9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Tato připomínka je zásadní.</w:t>
      </w:r>
    </w:p>
    <w:p w14:paraId="599703DA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117BA840" w14:textId="1592A828" w:rsidR="009B4E16" w:rsidRPr="009B4E16" w:rsidRDefault="009B4E16" w:rsidP="009B4E16">
      <w:pPr>
        <w:numPr>
          <w:ilvl w:val="0"/>
          <w:numId w:val="1"/>
        </w:num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Ke Stanovisku, části </w:t>
      </w:r>
      <w:r w:rsidR="00B245A1">
        <w:rPr>
          <w:rFonts w:ascii="Calibri" w:eastAsia="Times New Roman" w:hAnsi="Calibri" w:cs="Calibri"/>
          <w:b/>
          <w:bCs/>
          <w:sz w:val="24"/>
          <w:szCs w:val="24"/>
        </w:rPr>
        <w:t>3.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Závěr, první</w:t>
      </w:r>
      <w:r w:rsidR="00B17A88">
        <w:rPr>
          <w:rFonts w:ascii="Calibri" w:eastAsia="Times New Roman" w:hAnsi="Calibri" w:cs="Calibri"/>
          <w:b/>
          <w:bCs/>
          <w:sz w:val="24"/>
          <w:szCs w:val="24"/>
        </w:rPr>
        <w:t>mu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odstavc</w:t>
      </w:r>
      <w:r w:rsidR="00B17A88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>, poslední vět</w:t>
      </w:r>
      <w:r w:rsidR="00B17A88">
        <w:rPr>
          <w:rFonts w:ascii="Calibri" w:eastAsia="Times New Roman" w:hAnsi="Calibri" w:cs="Calibri"/>
          <w:b/>
          <w:bCs/>
          <w:sz w:val="24"/>
          <w:szCs w:val="24"/>
        </w:rPr>
        <w:t>ě</w:t>
      </w:r>
    </w:p>
    <w:p w14:paraId="4FF261DC" w14:textId="1D1C438D" w:rsidR="009B4E16" w:rsidRPr="009B4E16" w:rsidRDefault="009B4E16" w:rsidP="009B4E16">
      <w:pPr>
        <w:spacing w:after="120" w:line="240" w:lineRule="auto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9B4E16">
        <w:rPr>
          <w:rFonts w:ascii="Calibri" w:eastAsia="Times New Roman" w:hAnsi="Calibri" w:cs="Calibri"/>
          <w:bCs/>
          <w:sz w:val="24"/>
          <w:szCs w:val="24"/>
        </w:rPr>
        <w:t>GA ČR a TA ČT v tomto odstavci uvádí: „</w:t>
      </w:r>
      <w:r w:rsidRPr="009B4E16">
        <w:rPr>
          <w:rFonts w:ascii="Calibri" w:eastAsia="Times New Roman" w:hAnsi="Calibri" w:cs="Calibri"/>
          <w:bCs/>
          <w:i/>
          <w:sz w:val="24"/>
          <w:szCs w:val="24"/>
        </w:rPr>
        <w:t>Oceňujeme, že kontrola poukázala nejen na oblasti, kde se daří dosahovat pozitivních výsledků, ale také na témata, která si zaslouží naši zvýšenou pozornost.“</w:t>
      </w:r>
      <w:r w:rsidR="00417724">
        <w:rPr>
          <w:rFonts w:ascii="Calibri" w:eastAsia="Times New Roman" w:hAnsi="Calibri" w:cs="Calibri"/>
          <w:bCs/>
          <w:i/>
          <w:sz w:val="24"/>
          <w:szCs w:val="24"/>
        </w:rPr>
        <w:t>.</w:t>
      </w:r>
    </w:p>
    <w:p w14:paraId="20A1211F" w14:textId="3D98E2B4" w:rsidR="009B4E16" w:rsidRPr="009B4E16" w:rsidRDefault="009B4E16" w:rsidP="009B4E16">
      <w:pPr>
        <w:spacing w:after="120" w:line="240" w:lineRule="auto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NKÚ k tomu uvádí, že kontrola poukázala především na nedostatky </w:t>
      </w:r>
      <w:r w:rsidR="00EC47F6">
        <w:rPr>
          <w:rFonts w:ascii="Calibri" w:eastAsia="Times New Roman" w:hAnsi="Calibri" w:cs="Calibri"/>
          <w:bCs/>
          <w:sz w:val="24"/>
          <w:szCs w:val="24"/>
        </w:rPr>
        <w:t>v</w:t>
      </w:r>
      <w:r w:rsidR="008277A0">
        <w:rPr>
          <w:rFonts w:ascii="Calibri" w:eastAsia="Times New Roman" w:hAnsi="Calibri" w:cs="Calibri"/>
          <w:bCs/>
          <w:sz w:val="24"/>
          <w:szCs w:val="24"/>
        </w:rPr>
        <w:t> </w:t>
      </w:r>
      <w:r w:rsidR="00EC47F6">
        <w:rPr>
          <w:rFonts w:ascii="Calibri" w:eastAsia="Times New Roman" w:hAnsi="Calibri" w:cs="Calibri"/>
          <w:bCs/>
          <w:sz w:val="24"/>
          <w:szCs w:val="24"/>
        </w:rPr>
        <w:t>činnosti</w:t>
      </w:r>
      <w:r w:rsidR="008277A0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9B4E16">
        <w:rPr>
          <w:rFonts w:ascii="Calibri" w:eastAsia="Times New Roman" w:hAnsi="Calibri" w:cs="Calibri"/>
          <w:bCs/>
          <w:sz w:val="24"/>
          <w:szCs w:val="24"/>
        </w:rPr>
        <w:t>agentur</w:t>
      </w:r>
      <w:r w:rsidR="00EC47F6">
        <w:rPr>
          <w:rFonts w:ascii="Calibri" w:eastAsia="Times New Roman" w:hAnsi="Calibri" w:cs="Calibri"/>
          <w:bCs/>
          <w:sz w:val="24"/>
          <w:szCs w:val="24"/>
        </w:rPr>
        <w:t xml:space="preserve">, zejména 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na nedostatečnou spolupráci mezi agenturami a </w:t>
      </w:r>
      <w:r w:rsidR="00EC47F6">
        <w:rPr>
          <w:rFonts w:ascii="Calibri" w:eastAsia="Times New Roman" w:hAnsi="Calibri" w:cs="Calibri"/>
          <w:bCs/>
          <w:sz w:val="24"/>
          <w:szCs w:val="24"/>
        </w:rPr>
        <w:t xml:space="preserve">na 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zaměření </w:t>
      </w:r>
      <w:r w:rsidR="00EC47F6" w:rsidRPr="009B4E16">
        <w:rPr>
          <w:rFonts w:ascii="Calibri" w:eastAsia="Times New Roman" w:hAnsi="Calibri" w:cs="Calibri"/>
          <w:bCs/>
          <w:sz w:val="24"/>
          <w:szCs w:val="24"/>
        </w:rPr>
        <w:t xml:space="preserve">jejich 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podpory (nedostatečná podpora zaměřená na aktuální potřeby společnosti, snižující se zapojení soukromého sektoru, pokles patentů a pomalý růst kvality základního výzkumu). Pozitivní zjištění souvisí s komplexním hodnocením práce agentur, konkrétně </w:t>
      </w:r>
      <w:r w:rsidR="00EC47F6">
        <w:rPr>
          <w:rFonts w:ascii="Calibri" w:eastAsia="Times New Roman" w:hAnsi="Calibri" w:cs="Calibri"/>
          <w:bCs/>
          <w:sz w:val="24"/>
          <w:szCs w:val="24"/>
        </w:rPr>
        <w:t xml:space="preserve">s 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transparentním </w:t>
      </w:r>
      <w:r w:rsidRPr="009B4E16">
        <w:rPr>
          <w:rFonts w:ascii="Calibri" w:eastAsia="Times New Roman" w:hAnsi="Calibri" w:cs="Calibri"/>
          <w:bCs/>
          <w:sz w:val="24"/>
          <w:szCs w:val="24"/>
        </w:rPr>
        <w:lastRenderedPageBreak/>
        <w:t>výběrem projektů a samotným provozem agentur. Kontrolní závěr poukazuje zejména na</w:t>
      </w:r>
      <w:r w:rsidR="004608A2">
        <w:rPr>
          <w:rFonts w:ascii="Calibri" w:eastAsia="Times New Roman" w:hAnsi="Calibri" w:cs="Calibri"/>
          <w:bCs/>
          <w:sz w:val="24"/>
          <w:szCs w:val="24"/>
        </w:rPr>
        <w:t> </w:t>
      </w:r>
      <w:r w:rsidRPr="009B4E16">
        <w:rPr>
          <w:rFonts w:ascii="Calibri" w:eastAsia="Times New Roman" w:hAnsi="Calibri" w:cs="Calibri"/>
          <w:bCs/>
          <w:sz w:val="24"/>
          <w:szCs w:val="24"/>
        </w:rPr>
        <w:t>nedostatky, které mají obě agentury zrcadlit ve své budoucí práci. Náprava těchto nedostatků je hlavním cílem kontrolního závěru. Z textu závěru Stanoviska vyznívá, že</w:t>
      </w:r>
      <w:r w:rsidR="004608A2">
        <w:rPr>
          <w:rFonts w:ascii="Calibri" w:eastAsia="Times New Roman" w:hAnsi="Calibri" w:cs="Calibri"/>
          <w:bCs/>
          <w:sz w:val="24"/>
          <w:szCs w:val="24"/>
        </w:rPr>
        <w:t> </w:t>
      </w:r>
      <w:r w:rsidRPr="009B4E16">
        <w:rPr>
          <w:rFonts w:ascii="Calibri" w:eastAsia="Times New Roman" w:hAnsi="Calibri" w:cs="Calibri"/>
          <w:bCs/>
          <w:sz w:val="24"/>
          <w:szCs w:val="24"/>
        </w:rPr>
        <w:t>agentury mají tendenci vnímat pozitivní zjištění jako potvrzení své správné činnosti, aniž</w:t>
      </w:r>
      <w:r w:rsidR="004608A2">
        <w:rPr>
          <w:rFonts w:ascii="Calibri" w:eastAsia="Times New Roman" w:hAnsi="Calibri" w:cs="Calibri"/>
          <w:bCs/>
          <w:sz w:val="24"/>
          <w:szCs w:val="24"/>
        </w:rPr>
        <w:t> </w:t>
      </w:r>
      <w:r w:rsidRPr="009B4E16">
        <w:rPr>
          <w:rFonts w:ascii="Calibri" w:eastAsia="Times New Roman" w:hAnsi="Calibri" w:cs="Calibri"/>
          <w:bCs/>
          <w:sz w:val="24"/>
          <w:szCs w:val="24"/>
        </w:rPr>
        <w:t>by dostatečně reflektovaly závažnost negativních zjištění.</w:t>
      </w:r>
    </w:p>
    <w:p w14:paraId="608060D3" w14:textId="275DECBB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NKÚ navrhuje, aby GA ČR a TA ČR</w:t>
      </w:r>
      <w:r w:rsidR="00417724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B4E16">
        <w:rPr>
          <w:rFonts w:ascii="Calibri" w:eastAsia="Calibri" w:hAnsi="Calibri" w:cs="Calibri"/>
          <w:b/>
          <w:sz w:val="24"/>
          <w:szCs w:val="24"/>
        </w:rPr>
        <w:t>ze Stanoviska větu vypustil nebo přeformuloval.</w:t>
      </w:r>
    </w:p>
    <w:p w14:paraId="380F7231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39C9F16" w14:textId="52A823D5" w:rsidR="009B4E16" w:rsidRPr="009B4E16" w:rsidRDefault="009B4E16" w:rsidP="009B4E16">
      <w:pPr>
        <w:numPr>
          <w:ilvl w:val="0"/>
          <w:numId w:val="1"/>
        </w:numPr>
        <w:shd w:val="clear" w:color="auto" w:fill="FFFFFF"/>
        <w:spacing w:after="120" w:line="240" w:lineRule="auto"/>
        <w:ind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Ke Stanovisku, části </w:t>
      </w:r>
      <w:r w:rsidR="00B91FE8">
        <w:rPr>
          <w:rFonts w:ascii="Calibri" w:eastAsia="Times New Roman" w:hAnsi="Calibri" w:cs="Calibri"/>
          <w:b/>
          <w:bCs/>
          <w:sz w:val="24"/>
          <w:szCs w:val="24"/>
        </w:rPr>
        <w:t>3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>. Závěr, druh</w:t>
      </w:r>
      <w:r w:rsidR="00B17A88">
        <w:rPr>
          <w:rFonts w:ascii="Calibri" w:eastAsia="Times New Roman" w:hAnsi="Calibri" w:cs="Calibri"/>
          <w:b/>
          <w:bCs/>
          <w:sz w:val="24"/>
          <w:szCs w:val="24"/>
        </w:rPr>
        <w:t>ému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 xml:space="preserve"> odstavc</w:t>
      </w:r>
      <w:r w:rsidR="00B17A88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Pr="009B4E16">
        <w:rPr>
          <w:rFonts w:ascii="Calibri" w:eastAsia="Times New Roman" w:hAnsi="Calibri" w:cs="Calibri"/>
          <w:b/>
          <w:bCs/>
          <w:sz w:val="24"/>
          <w:szCs w:val="24"/>
        </w:rPr>
        <w:t>, první vět</w:t>
      </w:r>
      <w:r w:rsidR="00B17A88">
        <w:rPr>
          <w:rFonts w:ascii="Calibri" w:eastAsia="Times New Roman" w:hAnsi="Calibri" w:cs="Calibri"/>
          <w:b/>
          <w:bCs/>
          <w:sz w:val="24"/>
          <w:szCs w:val="24"/>
        </w:rPr>
        <w:t>ě</w:t>
      </w:r>
    </w:p>
    <w:p w14:paraId="6A8FEE4C" w14:textId="77777777" w:rsidR="009B4E16" w:rsidRPr="009B4E16" w:rsidRDefault="009B4E16" w:rsidP="009B4E16">
      <w:pPr>
        <w:spacing w:after="120" w:line="240" w:lineRule="auto"/>
        <w:jc w:val="both"/>
        <w:rPr>
          <w:rFonts w:ascii="Calibri" w:eastAsia="Times New Roman" w:hAnsi="Calibri" w:cs="Calibri"/>
          <w:bCs/>
          <w:sz w:val="24"/>
          <w:szCs w:val="24"/>
        </w:rPr>
      </w:pP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GA ČR a TA ČR v tomto odstavci uvádí: </w:t>
      </w:r>
      <w:r w:rsidRPr="009B4E16">
        <w:rPr>
          <w:rFonts w:ascii="Calibri" w:eastAsia="Times New Roman" w:hAnsi="Calibri" w:cs="Calibri"/>
          <w:bCs/>
          <w:i/>
          <w:sz w:val="24"/>
          <w:szCs w:val="24"/>
        </w:rPr>
        <w:t>„Většina opatření byla v posledních letech již zavedena a stala se součástí standardní praxe obou agentur“.</w:t>
      </w:r>
    </w:p>
    <w:p w14:paraId="2EB5DB9D" w14:textId="6E15DE12" w:rsidR="009B4E16" w:rsidRPr="009B4E16" w:rsidRDefault="009B4E16" w:rsidP="009B4E16">
      <w:pPr>
        <w:spacing w:after="120" w:line="240" w:lineRule="auto"/>
        <w:jc w:val="both"/>
        <w:rPr>
          <w:rFonts w:ascii="Calibri" w:eastAsia="Times New Roman" w:hAnsi="Calibri" w:cs="Calibri"/>
          <w:bCs/>
          <w:color w:val="000000"/>
          <w:sz w:val="24"/>
          <w:szCs w:val="24"/>
        </w:rPr>
      </w:pPr>
      <w:r w:rsidRPr="009B4E16">
        <w:rPr>
          <w:rFonts w:ascii="Calibri" w:eastAsia="Times New Roman" w:hAnsi="Calibri" w:cs="Calibri"/>
          <w:bCs/>
          <w:sz w:val="24"/>
          <w:szCs w:val="24"/>
        </w:rPr>
        <w:t>NKÚ k tomu uvádí, že vzhledem k nedostatkům zjištěný</w:t>
      </w:r>
      <w:r w:rsidR="00EC47F6">
        <w:rPr>
          <w:rFonts w:ascii="Calibri" w:eastAsia="Times New Roman" w:hAnsi="Calibri" w:cs="Calibri"/>
          <w:bCs/>
          <w:sz w:val="24"/>
          <w:szCs w:val="24"/>
        </w:rPr>
        <w:t>m</w:t>
      </w:r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během kontroly, např. faktu, že GA ČR a TA ČR spolu aktivně nespolupracují, chybí podpora orientovaného základního výzkumu a nová skupina grantových projektů </w:t>
      </w:r>
      <w:proofErr w:type="spellStart"/>
      <w:r w:rsidRPr="009B4E16">
        <w:rPr>
          <w:rFonts w:ascii="Calibri" w:eastAsia="Times New Roman" w:hAnsi="Calibri" w:cs="Calibri"/>
          <w:bCs/>
          <w:sz w:val="24"/>
          <w:szCs w:val="24"/>
        </w:rPr>
        <w:t>Proof</w:t>
      </w:r>
      <w:proofErr w:type="spellEnd"/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proofErr w:type="spellStart"/>
      <w:r w:rsidRPr="009B4E16">
        <w:rPr>
          <w:rFonts w:ascii="Calibri" w:eastAsia="Times New Roman" w:hAnsi="Calibri" w:cs="Calibri"/>
          <w:bCs/>
          <w:sz w:val="24"/>
          <w:szCs w:val="24"/>
        </w:rPr>
        <w:t>of</w:t>
      </w:r>
      <w:proofErr w:type="spellEnd"/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proofErr w:type="spellStart"/>
      <w:r w:rsidRPr="009B4E16">
        <w:rPr>
          <w:rFonts w:ascii="Calibri" w:eastAsia="Times New Roman" w:hAnsi="Calibri" w:cs="Calibri"/>
          <w:bCs/>
          <w:sz w:val="24"/>
          <w:szCs w:val="24"/>
        </w:rPr>
        <w:t>Concept</w:t>
      </w:r>
      <w:proofErr w:type="spellEnd"/>
      <w:r w:rsidRPr="009B4E16">
        <w:rPr>
          <w:rFonts w:ascii="Calibri" w:eastAsia="Times New Roman" w:hAnsi="Calibri" w:cs="Calibri"/>
          <w:bCs/>
          <w:sz w:val="24"/>
          <w:szCs w:val="24"/>
        </w:rPr>
        <w:t xml:space="preserve"> nebyla do ukončení kontroly vyhlášena, je zřejmé, že většina opatření nebyla v posledních letech účinná.</w:t>
      </w:r>
    </w:p>
    <w:p w14:paraId="11B6CF22" w14:textId="57F55CA3" w:rsidR="009B4E16" w:rsidRPr="009B4E16" w:rsidRDefault="009B4E16" w:rsidP="009B4E16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9B4E16">
        <w:rPr>
          <w:rFonts w:ascii="Calibri" w:eastAsia="Calibri" w:hAnsi="Calibri" w:cs="Calibri"/>
          <w:b/>
          <w:sz w:val="24"/>
          <w:szCs w:val="24"/>
        </w:rPr>
        <w:t>NKÚ navrhuje, aby GA ČR a TA ČR ze Stanoviska větu vypustil.</w:t>
      </w:r>
    </w:p>
    <w:p w14:paraId="2D350E90" w14:textId="77777777" w:rsidR="009B4E16" w:rsidRPr="009B4E16" w:rsidRDefault="009B4E16" w:rsidP="009B4E16">
      <w:pPr>
        <w:shd w:val="clear" w:color="auto" w:fill="FFFFFF"/>
        <w:spacing w:after="120" w:line="240" w:lineRule="auto"/>
        <w:ind w:left="23" w:right="11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3D3B8A35" w14:textId="2D3DEAAF" w:rsidR="000422E7" w:rsidRPr="000422E7" w:rsidRDefault="009B4E16" w:rsidP="000422E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9B4E16">
        <w:rPr>
          <w:rFonts w:eastAsia="Times New Roman" w:cstheme="minorHAnsi"/>
          <w:sz w:val="24"/>
          <w:szCs w:val="24"/>
        </w:rPr>
        <w:t xml:space="preserve">Kontaktní osobou pro vypořádání zásadních připomínek je Ing. Lenka Kadlecová </w:t>
      </w:r>
      <w:r w:rsidR="004608A2">
        <w:rPr>
          <w:rFonts w:eastAsia="Times New Roman" w:cstheme="minorHAnsi"/>
          <w:sz w:val="24"/>
          <w:szCs w:val="24"/>
        </w:rPr>
        <w:br/>
      </w:r>
      <w:r w:rsidRPr="009B4E16">
        <w:rPr>
          <w:rFonts w:eastAsia="Times New Roman" w:cstheme="minorHAnsi"/>
          <w:sz w:val="24"/>
          <w:szCs w:val="24"/>
        </w:rPr>
        <w:t>tel.: 607 004 605, email: Lenka.Kadlecova@nku.cz</w:t>
      </w:r>
      <w:r>
        <w:rPr>
          <w:rFonts w:eastAsia="Times New Roman" w:cstheme="minorHAnsi"/>
          <w:sz w:val="24"/>
          <w:szCs w:val="24"/>
        </w:rPr>
        <w:t>.</w:t>
      </w:r>
    </w:p>
    <w:p w14:paraId="3031DA10" w14:textId="77777777" w:rsidR="000422E7" w:rsidRPr="000422E7" w:rsidRDefault="000422E7" w:rsidP="000422E7">
      <w:pPr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proofErr w:type="spellStart"/>
      <w:r w:rsidRPr="000422E7">
        <w:rPr>
          <w:rFonts w:eastAsia="Times New Roman" w:cstheme="minorHAnsi"/>
          <w:b/>
          <w:sz w:val="24"/>
          <w:szCs w:val="24"/>
        </w:rPr>
        <w:t>xxx</w:t>
      </w:r>
      <w:proofErr w:type="spellEnd"/>
    </w:p>
    <w:p w14:paraId="0387643E" w14:textId="77777777" w:rsidR="000422E7" w:rsidRPr="00D40E53" w:rsidRDefault="000422E7" w:rsidP="000422E7">
      <w:pPr>
        <w:spacing w:after="0" w:line="240" w:lineRule="auto"/>
        <w:jc w:val="center"/>
        <w:rPr>
          <w:sz w:val="24"/>
          <w:szCs w:val="24"/>
        </w:rPr>
      </w:pPr>
    </w:p>
    <w:sectPr w:rsidR="000422E7" w:rsidRPr="00D40E53" w:rsidSect="008658AE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3D60E" w14:textId="77777777" w:rsidR="002C08B8" w:rsidRDefault="002C08B8" w:rsidP="00EC6961">
      <w:pPr>
        <w:spacing w:after="0" w:line="240" w:lineRule="auto"/>
      </w:pPr>
      <w:r>
        <w:separator/>
      </w:r>
    </w:p>
  </w:endnote>
  <w:endnote w:type="continuationSeparator" w:id="0">
    <w:p w14:paraId="38A35E9A" w14:textId="77777777" w:rsidR="002C08B8" w:rsidRDefault="002C08B8" w:rsidP="00EC6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2147" w14:textId="53951702" w:rsidR="00BE1BCA" w:rsidRDefault="00BE1BCA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A07F65" wp14:editId="05678B3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624764175" name="Textové pole 2" descr="TLP:GREE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66F58D" w14:textId="72E70773" w:rsidR="00BE1BCA" w:rsidRPr="00BE1BCA" w:rsidRDefault="00BE1BCA" w:rsidP="00BE1B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33FF00"/>
                              <w:sz w:val="24"/>
                              <w:szCs w:val="24"/>
                            </w:rPr>
                          </w:pPr>
                          <w:r w:rsidRPr="00BE1BCA">
                            <w:rPr>
                              <w:rFonts w:ascii="Calibri" w:eastAsia="Calibri" w:hAnsi="Calibri" w:cs="Calibri"/>
                              <w:noProof/>
                              <w:color w:val="33FF00"/>
                              <w:sz w:val="24"/>
                              <w:szCs w:val="24"/>
                            </w:rPr>
                            <w:t>TLP:GREEN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07F6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TLP:GREEN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266F58D" w14:textId="72E70773" w:rsidR="00BE1BCA" w:rsidRPr="00BE1BCA" w:rsidRDefault="00BE1BCA" w:rsidP="00BE1B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33FF00"/>
                        <w:sz w:val="24"/>
                        <w:szCs w:val="24"/>
                      </w:rPr>
                    </w:pPr>
                    <w:r w:rsidRPr="00BE1BCA">
                      <w:rPr>
                        <w:rFonts w:ascii="Calibri" w:eastAsia="Calibri" w:hAnsi="Calibri" w:cs="Calibri"/>
                        <w:noProof/>
                        <w:color w:val="33FF00"/>
                        <w:sz w:val="24"/>
                        <w:szCs w:val="24"/>
                      </w:rPr>
                      <w:t>TLP:GREEN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D710B" w14:textId="7567A7C6" w:rsidR="006007F5" w:rsidRPr="00F72FEB" w:rsidRDefault="00BE1BCA" w:rsidP="00C70458">
    <w:pPr>
      <w:pStyle w:val="Zpat"/>
      <w:jc w:val="center"/>
      <w:rPr>
        <w:rFonts w:cstheme="minorHAnsi"/>
        <w:color w:val="000000" w:themeColor="text1"/>
        <w:szCs w:val="20"/>
      </w:rPr>
    </w:pPr>
    <w:r>
      <w:rPr>
        <w:rFonts w:cstheme="minorHAnsi"/>
        <w:noProof/>
        <w:color w:val="000000" w:themeColor="text1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49C40A8" wp14:editId="006C8C9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360096121" name="Textové pole 3" descr="TLP:GREE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2BEC54" w14:textId="4F160D09" w:rsidR="00BE1BCA" w:rsidRPr="00BE1BCA" w:rsidRDefault="00BE1BCA" w:rsidP="00BE1B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33FF00"/>
                              <w:sz w:val="24"/>
                              <w:szCs w:val="24"/>
                            </w:rPr>
                          </w:pPr>
                          <w:r w:rsidRPr="00BE1BCA">
                            <w:rPr>
                              <w:rFonts w:ascii="Calibri" w:eastAsia="Calibri" w:hAnsi="Calibri" w:cs="Calibri"/>
                              <w:noProof/>
                              <w:color w:val="33FF00"/>
                              <w:sz w:val="24"/>
                              <w:szCs w:val="24"/>
                            </w:rPr>
                            <w:t>TLP:GREEN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9C40A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TLP:GREEN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2B2BEC54" w14:textId="4F160D09" w:rsidR="00BE1BCA" w:rsidRPr="00BE1BCA" w:rsidRDefault="00BE1BCA" w:rsidP="00BE1B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33FF00"/>
                        <w:sz w:val="24"/>
                        <w:szCs w:val="24"/>
                      </w:rPr>
                    </w:pPr>
                    <w:r w:rsidRPr="00BE1BCA">
                      <w:rPr>
                        <w:rFonts w:ascii="Calibri" w:eastAsia="Calibri" w:hAnsi="Calibri" w:cs="Calibri"/>
                        <w:noProof/>
                        <w:color w:val="33FF00"/>
                        <w:sz w:val="24"/>
                        <w:szCs w:val="24"/>
                      </w:rPr>
                      <w:t>TLP:GREEN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007F5" w:rsidRPr="00F72FEB">
      <w:rPr>
        <w:rFonts w:cstheme="minorHAnsi"/>
        <w:color w:val="000000" w:themeColor="text1"/>
        <w:szCs w:val="20"/>
      </w:rPr>
      <w:t xml:space="preserve">STRANA </w:t>
    </w:r>
    <w:r w:rsidR="006007F5" w:rsidRPr="00F72FEB">
      <w:rPr>
        <w:rFonts w:cstheme="minorHAnsi"/>
        <w:color w:val="000000" w:themeColor="text1"/>
        <w:szCs w:val="20"/>
      </w:rPr>
      <w:fldChar w:fldCharType="begin"/>
    </w:r>
    <w:r w:rsidR="006007F5" w:rsidRPr="00F72FEB">
      <w:rPr>
        <w:rFonts w:cstheme="minorHAnsi"/>
        <w:color w:val="000000" w:themeColor="text1"/>
        <w:szCs w:val="20"/>
      </w:rPr>
      <w:instrText>PAGE   \* MERGEFORMAT</w:instrText>
    </w:r>
    <w:r w:rsidR="006007F5" w:rsidRPr="00F72FEB">
      <w:rPr>
        <w:rFonts w:cstheme="minorHAnsi"/>
        <w:color w:val="000000" w:themeColor="text1"/>
        <w:szCs w:val="20"/>
      </w:rPr>
      <w:fldChar w:fldCharType="separate"/>
    </w:r>
    <w:r w:rsidR="006007F5" w:rsidRPr="00F72FEB">
      <w:rPr>
        <w:rFonts w:cstheme="minorHAnsi"/>
        <w:noProof/>
        <w:color w:val="000000" w:themeColor="text1"/>
        <w:szCs w:val="20"/>
      </w:rPr>
      <w:t>2</w:t>
    </w:r>
    <w:r w:rsidR="006007F5" w:rsidRPr="00F72FEB">
      <w:rPr>
        <w:rFonts w:cstheme="minorHAnsi"/>
        <w:color w:val="000000" w:themeColor="text1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0B463" w14:textId="1A9AE988" w:rsidR="00BE1BCA" w:rsidRDefault="00BE1BCA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FDC1E6" wp14:editId="65CC4243">
              <wp:simplePos x="898497" y="10074303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68061158" name="Textové pole 1" descr="TLP:GREE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85F2B7" w14:textId="5ABD02B0" w:rsidR="00BE1BCA" w:rsidRPr="00BE1BCA" w:rsidRDefault="00BE1BCA" w:rsidP="00BE1BC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33FF00"/>
                              <w:sz w:val="24"/>
                              <w:szCs w:val="24"/>
                            </w:rPr>
                          </w:pPr>
                          <w:r w:rsidRPr="00BE1BCA">
                            <w:rPr>
                              <w:rFonts w:ascii="Calibri" w:eastAsia="Calibri" w:hAnsi="Calibri" w:cs="Calibri"/>
                              <w:noProof/>
                              <w:color w:val="33FF00"/>
                              <w:sz w:val="24"/>
                              <w:szCs w:val="24"/>
                            </w:rPr>
                            <w:t>TLP:GREEN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FDC1E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TLP:GREEN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185F2B7" w14:textId="5ABD02B0" w:rsidR="00BE1BCA" w:rsidRPr="00BE1BCA" w:rsidRDefault="00BE1BCA" w:rsidP="00BE1BC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33FF00"/>
                        <w:sz w:val="24"/>
                        <w:szCs w:val="24"/>
                      </w:rPr>
                    </w:pPr>
                    <w:r w:rsidRPr="00BE1BCA">
                      <w:rPr>
                        <w:rFonts w:ascii="Calibri" w:eastAsia="Calibri" w:hAnsi="Calibri" w:cs="Calibri"/>
                        <w:noProof/>
                        <w:color w:val="33FF00"/>
                        <w:sz w:val="24"/>
                        <w:szCs w:val="24"/>
                      </w:rPr>
                      <w:t>TLP:GREEN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20992" w14:textId="77777777" w:rsidR="002C08B8" w:rsidRDefault="002C08B8" w:rsidP="00EC6961">
      <w:pPr>
        <w:spacing w:after="0" w:line="240" w:lineRule="auto"/>
      </w:pPr>
      <w:r>
        <w:separator/>
      </w:r>
    </w:p>
  </w:footnote>
  <w:footnote w:type="continuationSeparator" w:id="0">
    <w:p w14:paraId="0E9171BB" w14:textId="77777777" w:rsidR="002C08B8" w:rsidRDefault="002C08B8" w:rsidP="00EC6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AFE88" w14:textId="77777777" w:rsidR="006007F5" w:rsidRDefault="006007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4656" behindDoc="1" locked="0" layoutInCell="1" allowOverlap="1" wp14:anchorId="01D2209D" wp14:editId="7539E3CD">
          <wp:simplePos x="0" y="0"/>
          <wp:positionH relativeFrom="column">
            <wp:posOffset>4250690</wp:posOffset>
          </wp:positionH>
          <wp:positionV relativeFrom="paragraph">
            <wp:posOffset>-450001</wp:posOffset>
          </wp:positionV>
          <wp:extent cx="2399599" cy="900430"/>
          <wp:effectExtent l="0" t="0" r="127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ruh na formula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99599" cy="9004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cs-CZ"/>
      </w:rPr>
      <w:drawing>
        <wp:inline distT="0" distB="0" distL="0" distR="0" wp14:anchorId="48E5153A" wp14:editId="176C3641">
          <wp:extent cx="1944000" cy="564387"/>
          <wp:effectExtent l="0" t="0" r="0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KU_logoCZ-text01-transp-rgb72dpi-011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000" cy="564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BF2B91"/>
    <w:multiLevelType w:val="hybridMultilevel"/>
    <w:tmpl w:val="8A1CD8CC"/>
    <w:lvl w:ilvl="0" w:tplc="905A55E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5DDA0D3C" w:tentative="1">
      <w:start w:val="1"/>
      <w:numFmt w:val="lowerLetter"/>
      <w:lvlText w:val="%2."/>
      <w:lvlJc w:val="left"/>
      <w:pPr>
        <w:ind w:left="1102" w:hanging="360"/>
      </w:pPr>
    </w:lvl>
    <w:lvl w:ilvl="2" w:tplc="1E064F3A" w:tentative="1">
      <w:start w:val="1"/>
      <w:numFmt w:val="lowerRoman"/>
      <w:lvlText w:val="%3."/>
      <w:lvlJc w:val="right"/>
      <w:pPr>
        <w:ind w:left="1822" w:hanging="180"/>
      </w:pPr>
    </w:lvl>
    <w:lvl w:ilvl="3" w:tplc="E2ECF2C0" w:tentative="1">
      <w:start w:val="1"/>
      <w:numFmt w:val="decimal"/>
      <w:lvlText w:val="%4."/>
      <w:lvlJc w:val="left"/>
      <w:pPr>
        <w:ind w:left="2542" w:hanging="360"/>
      </w:pPr>
    </w:lvl>
    <w:lvl w:ilvl="4" w:tplc="568E0E02" w:tentative="1">
      <w:start w:val="1"/>
      <w:numFmt w:val="lowerLetter"/>
      <w:lvlText w:val="%5."/>
      <w:lvlJc w:val="left"/>
      <w:pPr>
        <w:ind w:left="3262" w:hanging="360"/>
      </w:pPr>
    </w:lvl>
    <w:lvl w:ilvl="5" w:tplc="E998EDC0" w:tentative="1">
      <w:start w:val="1"/>
      <w:numFmt w:val="lowerRoman"/>
      <w:lvlText w:val="%6."/>
      <w:lvlJc w:val="right"/>
      <w:pPr>
        <w:ind w:left="3982" w:hanging="180"/>
      </w:pPr>
    </w:lvl>
    <w:lvl w:ilvl="6" w:tplc="71041A50" w:tentative="1">
      <w:start w:val="1"/>
      <w:numFmt w:val="decimal"/>
      <w:lvlText w:val="%7."/>
      <w:lvlJc w:val="left"/>
      <w:pPr>
        <w:ind w:left="4702" w:hanging="360"/>
      </w:pPr>
    </w:lvl>
    <w:lvl w:ilvl="7" w:tplc="EABE3B90" w:tentative="1">
      <w:start w:val="1"/>
      <w:numFmt w:val="lowerLetter"/>
      <w:lvlText w:val="%8."/>
      <w:lvlJc w:val="left"/>
      <w:pPr>
        <w:ind w:left="5422" w:hanging="360"/>
      </w:pPr>
    </w:lvl>
    <w:lvl w:ilvl="8" w:tplc="9258E144" w:tentative="1">
      <w:start w:val="1"/>
      <w:numFmt w:val="lowerRoman"/>
      <w:lvlText w:val="%9."/>
      <w:lvlJc w:val="right"/>
      <w:pPr>
        <w:ind w:left="6142" w:hanging="180"/>
      </w:pPr>
    </w:lvl>
  </w:abstractNum>
  <w:num w:numId="1" w16cid:durableId="544757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B8"/>
    <w:rsid w:val="00011FDA"/>
    <w:rsid w:val="000203F1"/>
    <w:rsid w:val="00035A38"/>
    <w:rsid w:val="00040B5D"/>
    <w:rsid w:val="000422E7"/>
    <w:rsid w:val="000751DB"/>
    <w:rsid w:val="000B3ADD"/>
    <w:rsid w:val="000B6AE1"/>
    <w:rsid w:val="000E533B"/>
    <w:rsid w:val="000F3A50"/>
    <w:rsid w:val="001038D1"/>
    <w:rsid w:val="0013424B"/>
    <w:rsid w:val="00140C4C"/>
    <w:rsid w:val="001A2430"/>
    <w:rsid w:val="001A4635"/>
    <w:rsid w:val="001C1B2C"/>
    <w:rsid w:val="001F080F"/>
    <w:rsid w:val="00211117"/>
    <w:rsid w:val="00251B56"/>
    <w:rsid w:val="00261489"/>
    <w:rsid w:val="00264ED9"/>
    <w:rsid w:val="002A2214"/>
    <w:rsid w:val="002A5685"/>
    <w:rsid w:val="002C08B8"/>
    <w:rsid w:val="002D5FC8"/>
    <w:rsid w:val="002E0017"/>
    <w:rsid w:val="002F2543"/>
    <w:rsid w:val="003243D4"/>
    <w:rsid w:val="00394429"/>
    <w:rsid w:val="003B1D33"/>
    <w:rsid w:val="003F6EB6"/>
    <w:rsid w:val="00417724"/>
    <w:rsid w:val="00421458"/>
    <w:rsid w:val="004601E5"/>
    <w:rsid w:val="004608A2"/>
    <w:rsid w:val="00464F7B"/>
    <w:rsid w:val="004E1019"/>
    <w:rsid w:val="004E5461"/>
    <w:rsid w:val="00503B1B"/>
    <w:rsid w:val="005041CF"/>
    <w:rsid w:val="005469BE"/>
    <w:rsid w:val="00563E96"/>
    <w:rsid w:val="005848AA"/>
    <w:rsid w:val="005D4B0C"/>
    <w:rsid w:val="006007F5"/>
    <w:rsid w:val="00601FD0"/>
    <w:rsid w:val="00630372"/>
    <w:rsid w:val="00631883"/>
    <w:rsid w:val="00666FFE"/>
    <w:rsid w:val="00667DE4"/>
    <w:rsid w:val="00674F75"/>
    <w:rsid w:val="006B2B37"/>
    <w:rsid w:val="006C3FCB"/>
    <w:rsid w:val="006C79E4"/>
    <w:rsid w:val="006F61F1"/>
    <w:rsid w:val="0072388B"/>
    <w:rsid w:val="00742A66"/>
    <w:rsid w:val="007919E1"/>
    <w:rsid w:val="007A59A1"/>
    <w:rsid w:val="007B78FD"/>
    <w:rsid w:val="007F4A30"/>
    <w:rsid w:val="008277A0"/>
    <w:rsid w:val="008658AE"/>
    <w:rsid w:val="00866CB4"/>
    <w:rsid w:val="00867BEB"/>
    <w:rsid w:val="00890DF0"/>
    <w:rsid w:val="008E69D7"/>
    <w:rsid w:val="008F7F6A"/>
    <w:rsid w:val="0092045C"/>
    <w:rsid w:val="00963F10"/>
    <w:rsid w:val="009767AB"/>
    <w:rsid w:val="00977BD5"/>
    <w:rsid w:val="00984FE5"/>
    <w:rsid w:val="009A26A1"/>
    <w:rsid w:val="009B4E16"/>
    <w:rsid w:val="009C6DE0"/>
    <w:rsid w:val="009D3F4B"/>
    <w:rsid w:val="009F1E07"/>
    <w:rsid w:val="00A458D3"/>
    <w:rsid w:val="00A846CF"/>
    <w:rsid w:val="00B05B95"/>
    <w:rsid w:val="00B17A88"/>
    <w:rsid w:val="00B245A1"/>
    <w:rsid w:val="00B33CE3"/>
    <w:rsid w:val="00B34C74"/>
    <w:rsid w:val="00B52FCB"/>
    <w:rsid w:val="00B530C6"/>
    <w:rsid w:val="00B91FE8"/>
    <w:rsid w:val="00B953AC"/>
    <w:rsid w:val="00BA37B9"/>
    <w:rsid w:val="00BD2A70"/>
    <w:rsid w:val="00BE1BCA"/>
    <w:rsid w:val="00BE5AE3"/>
    <w:rsid w:val="00BF4EDB"/>
    <w:rsid w:val="00C209F1"/>
    <w:rsid w:val="00C70458"/>
    <w:rsid w:val="00D40E53"/>
    <w:rsid w:val="00D70E2B"/>
    <w:rsid w:val="00DF2CD3"/>
    <w:rsid w:val="00DF3013"/>
    <w:rsid w:val="00DF35DA"/>
    <w:rsid w:val="00E111CB"/>
    <w:rsid w:val="00E31C58"/>
    <w:rsid w:val="00E46A9B"/>
    <w:rsid w:val="00EC47F6"/>
    <w:rsid w:val="00EC6961"/>
    <w:rsid w:val="00ED6B23"/>
    <w:rsid w:val="00ED7C9D"/>
    <w:rsid w:val="00EF1647"/>
    <w:rsid w:val="00F26945"/>
    <w:rsid w:val="00F72FEB"/>
    <w:rsid w:val="00F738F7"/>
    <w:rsid w:val="00F74477"/>
    <w:rsid w:val="00FA272C"/>
    <w:rsid w:val="00FA33C3"/>
    <w:rsid w:val="00FC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7FA20BA"/>
  <w15:docId w15:val="{E172D627-D69F-40DD-B5E7-E532D4A0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C6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6961"/>
  </w:style>
  <w:style w:type="paragraph" w:styleId="Zpat">
    <w:name w:val="footer"/>
    <w:basedOn w:val="Normln"/>
    <w:link w:val="ZpatChar"/>
    <w:unhideWhenUsed/>
    <w:rsid w:val="00EC6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C6961"/>
  </w:style>
  <w:style w:type="paragraph" w:styleId="Textbubliny">
    <w:name w:val="Balloon Text"/>
    <w:basedOn w:val="Normln"/>
    <w:link w:val="TextbublinyChar"/>
    <w:uiPriority w:val="99"/>
    <w:semiHidden/>
    <w:unhideWhenUsed/>
    <w:rsid w:val="008E6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69D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F2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semiHidden/>
    <w:rsid w:val="002E0017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011FDA"/>
    <w:rPr>
      <w:color w:val="808080"/>
    </w:rPr>
  </w:style>
  <w:style w:type="paragraph" w:styleId="Revize">
    <w:name w:val="Revision"/>
    <w:hidden/>
    <w:uiPriority w:val="99"/>
    <w:semiHidden/>
    <w:rsid w:val="009B4E1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A37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37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37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37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37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04D5F41149724EBDFF3EF79D5C803B" ma:contentTypeVersion="5" ma:contentTypeDescription="Vytvoří nový dokument" ma:contentTypeScope="" ma:versionID="0c6909fc680e96b50e9ca4b63af695b6">
  <xsd:schema xmlns:xsd="http://www.w3.org/2001/XMLSchema" xmlns:xs="http://www.w3.org/2001/XMLSchema" xmlns:p="http://schemas.microsoft.com/office/2006/metadata/properties" xmlns:ns1="http://schemas.microsoft.com/sharepoint/v3" xmlns:ns2="742eac6f-eb53-4257-aa86-339c4f2add96" xmlns:ns3="34e45ad3-ad29-45d3-a455-5af8d3f8c746" targetNamespace="http://schemas.microsoft.com/office/2006/metadata/properties" ma:root="true" ma:fieldsID="ce64298009861f4b97ebd0f7f3c23a07" ns1:_="" ns2:_="" ns3:_="">
    <xsd:import namespace="http://schemas.microsoft.com/sharepoint/v3"/>
    <xsd:import namespace="742eac6f-eb53-4257-aa86-339c4f2add96"/>
    <xsd:import namespace="34e45ad3-ad29-45d3-a455-5af8d3f8c746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Kategorie" minOccurs="0"/>
                <xsd:element ref="ns2:OdborSpravc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Datum zahájení plánování je sloupec webu, který vytvořila funkce Publikování. Používá se k zadání data a času, od kterého se tato stránka začne návštěvníkům webu zobrazovat.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Datum ukončení plánování je sloupec webu, který vytvořila funkce Publikování. Používá se k zadání data a času, od kterého se tato stránka už nebude návštěvníkům webu zobrazovat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eac6f-eb53-4257-aa86-339c4f2add96" elementFormDefault="qualified">
    <xsd:import namespace="http://schemas.microsoft.com/office/2006/documentManagement/types"/>
    <xsd:import namespace="http://schemas.microsoft.com/office/infopath/2007/PartnerControls"/>
    <xsd:element name="Kategorie" ma:index="10" nillable="true" ma:displayName="Kategorie" ma:default="Nezařazeno" ma:format="Dropdown" ma:internalName="Kategorie">
      <xsd:simpleType>
        <xsd:restriction base="dms:Choice">
          <xsd:enumeration value="Autoprovoz"/>
          <xsd:enumeration value="BOZP, PO"/>
          <xsd:enumeration value="FKSP"/>
          <xsd:enumeration value="Korespondence"/>
          <xsd:enumeration value="Majetek"/>
          <xsd:enumeration value="Nezařazeno"/>
          <xsd:enumeration value="Personalistika"/>
          <xsd:enumeration value="Porady"/>
          <xsd:enumeration value="Pracovní cesty"/>
          <xsd:enumeration value="Prezentace"/>
          <xsd:enumeration value="Utajované informace"/>
          <xsd:enumeration value="Vzdělávání"/>
        </xsd:restriction>
      </xsd:simpleType>
    </xsd:element>
    <xsd:element name="OdborSpravce" ma:index="11" nillable="true" ma:displayName="OdborSpravce" ma:default="000 - nezařazeno" ma:format="Dropdown" ma:internalName="OdborSpravce">
      <xsd:simpleType>
        <xsd:restriction base="dms:Choice">
          <xsd:enumeration value="050 - odbor bezpečnostní"/>
          <xsd:enumeration value="130 - odbor personální"/>
          <xsd:enumeration value="150 - odbor finanční"/>
          <xsd:enumeration value="170 - odbor mezinárodních vztahů"/>
          <xsd:enumeration value="180 - odbor hospodářské správy"/>
          <xsd:enumeration value="190 - odbor komunikace"/>
          <xsd:enumeration value="000 - nezařaz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45ad3-ad29-45d3-a455-5af8d3f8c74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orSpravce xmlns="742eac6f-eb53-4257-aa86-339c4f2add96">190 - odbor komunikace</OdborSpravce>
    <PublishingExpirationDate xmlns="http://schemas.microsoft.com/sharepoint/v3" xsi:nil="true"/>
    <PublishingStartDate xmlns="http://schemas.microsoft.com/sharepoint/v3" xsi:nil="true"/>
    <Kategorie xmlns="742eac6f-eb53-4257-aa86-339c4f2add96">Korespondence</Kategorie>
  </documentManagement>
</p:properties>
</file>

<file path=customXml/itemProps1.xml><?xml version="1.0" encoding="utf-8"?>
<ds:datastoreItem xmlns:ds="http://schemas.openxmlformats.org/officeDocument/2006/customXml" ds:itemID="{0D22BF67-4678-4EA9-908F-86E8B93BB6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F20ECF-CC48-476A-A3B6-2FA312358C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C86E55-908E-4442-A113-CE872E565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42eac6f-eb53-4257-aa86-339c4f2add96"/>
    <ds:schemaRef ds:uri="34e45ad3-ad29-45d3-a455-5af8d3f8c7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80277A-78ED-4627-9B4F-61FCA8169289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742eac6f-eb53-4257-aa86-339c4f2add96"/>
    <ds:schemaRef ds:uri="http://schemas.microsoft.com/office/2006/documentManagement/types"/>
    <ds:schemaRef ds:uri="34e45ad3-ad29-45d3-a455-5af8d3f8c746"/>
    <ds:schemaRef ds:uri="http://www.w3.org/XML/1998/namespace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Dopis ven</vt:lpstr>
    </vt:vector>
  </TitlesOfParts>
  <Company>NKU</Company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ven</dc:title>
  <dc:creator>KOKRDA Daniel</dc:creator>
  <cp:lastModifiedBy>ČERNÁ Romana</cp:lastModifiedBy>
  <cp:revision>2</cp:revision>
  <cp:lastPrinted>2023-12-22T12:07:00Z</cp:lastPrinted>
  <dcterms:created xsi:type="dcterms:W3CDTF">2025-10-14T12:18:00Z</dcterms:created>
  <dcterms:modified xsi:type="dcterms:W3CDTF">2025-10-14T12:18:00Z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0x0101003804D5F41149724EBDFF3EF79D5C803B</vt:lpwstr>
  </property>
  <property fmtid="{D5CDD505-2E9C-101B-9397-08002B2CF9AE}" pid="4" name="ClassificationContentMarkingFooterShapeIds">
    <vt:lpwstr>40e87e6,253d250f,51116b79</vt:lpwstr>
  </property>
  <property fmtid="{D5CDD505-2E9C-101B-9397-08002B2CF9AE}" pid="5" name="ClassificationContentMarkingFooterFontProps">
    <vt:lpwstr>#33ff00,12,Calibri</vt:lpwstr>
  </property>
  <property fmtid="{D5CDD505-2E9C-101B-9397-08002B2CF9AE}" pid="6" name="ClassificationContentMarkingFooterText">
    <vt:lpwstr>TLP:GREEN</vt:lpwstr>
  </property>
  <property fmtid="{D5CDD505-2E9C-101B-9397-08002B2CF9AE}" pid="7" name="MSIP_Label_577fbee6-ebd8-4412-8950-2ac0a4298383_Enabled">
    <vt:lpwstr>true</vt:lpwstr>
  </property>
  <property fmtid="{D5CDD505-2E9C-101B-9397-08002B2CF9AE}" pid="8" name="MSIP_Label_577fbee6-ebd8-4412-8950-2ac0a4298383_SetDate">
    <vt:lpwstr>2025-08-11T10:58:29Z</vt:lpwstr>
  </property>
  <property fmtid="{D5CDD505-2E9C-101B-9397-08002B2CF9AE}" pid="9" name="MSIP_Label_577fbee6-ebd8-4412-8950-2ac0a4298383_Method">
    <vt:lpwstr>Standard</vt:lpwstr>
  </property>
  <property fmtid="{D5CDD505-2E9C-101B-9397-08002B2CF9AE}" pid="10" name="MSIP_Label_577fbee6-ebd8-4412-8950-2ac0a4298383_Name">
    <vt:lpwstr>Střední</vt:lpwstr>
  </property>
  <property fmtid="{D5CDD505-2E9C-101B-9397-08002B2CF9AE}" pid="11" name="MSIP_Label_577fbee6-ebd8-4412-8950-2ac0a4298383_SiteId">
    <vt:lpwstr>e6d36204-fa0a-4bdb-9b60-80f84bb090cf</vt:lpwstr>
  </property>
  <property fmtid="{D5CDD505-2E9C-101B-9397-08002B2CF9AE}" pid="12" name="MSIP_Label_577fbee6-ebd8-4412-8950-2ac0a4298383_ActionId">
    <vt:lpwstr>99b8fe99-7d00-4a3a-a621-1abe16f2b8e8</vt:lpwstr>
  </property>
  <property fmtid="{D5CDD505-2E9C-101B-9397-08002B2CF9AE}" pid="13" name="MSIP_Label_577fbee6-ebd8-4412-8950-2ac0a4298383_ContentBits">
    <vt:lpwstr>2</vt:lpwstr>
  </property>
</Properties>
</file>